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14529" w:type="dxa"/>
        <w:tblInd w:w="-83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762"/>
        <w:gridCol w:w="1575"/>
        <w:gridCol w:w="3227"/>
        <w:gridCol w:w="3104"/>
        <w:gridCol w:w="1038"/>
        <w:gridCol w:w="1004"/>
        <w:gridCol w:w="1165"/>
        <w:gridCol w:w="1454"/>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1260" w:hRule="atLeast"/>
        </w:trPr>
        <w:tc>
          <w:tcPr>
            <w:tcW w:w="14529" w:type="dxa"/>
            <w:gridSpan w:val="9"/>
            <w:noWrap w:val="0"/>
            <w:vAlign w:val="center"/>
          </w:tcPr>
          <w:p>
            <w:pPr>
              <w:kinsoku/>
              <w:autoSpaceDE/>
              <w:autoSpaceDN w:val="0"/>
              <w:jc w:val="center"/>
              <w:textAlignment w:val="center"/>
              <w:rPr>
                <w:rFonts w:hint="default" w:ascii="宋体" w:hAnsi="宋体" w:eastAsia="宋体"/>
                <w:b/>
                <w:i w:val="0"/>
                <w:snapToGrid/>
                <w:color w:val="000000"/>
                <w:sz w:val="48"/>
                <w:u w:val="none"/>
                <w:lang w:eastAsia="zh-CN"/>
              </w:rPr>
            </w:pPr>
            <w:bookmarkStart w:id="0" w:name="_GoBack"/>
            <w:r>
              <w:rPr>
                <w:rFonts w:hint="default" w:ascii="宋体" w:hAnsi="宋体" w:eastAsia="宋体"/>
                <w:b/>
                <w:i w:val="0"/>
                <w:snapToGrid/>
                <w:color w:val="000000"/>
                <w:sz w:val="48"/>
                <w:u w:val="none"/>
                <w:lang w:eastAsia="zh-CN"/>
              </w:rPr>
              <w:t>随机抽查事项清单</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675"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序号</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抽查事项</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检查依据</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检查内容</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检查方式</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适用对象</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抽查比例</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抽查频次</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insoku/>
              <w:autoSpaceDE/>
              <w:autoSpaceDN w:val="0"/>
              <w:jc w:val="center"/>
              <w:textAlignment w:val="center"/>
              <w:rPr>
                <w:rFonts w:hint="default" w:ascii="宋体" w:hAnsi="宋体" w:eastAsia="宋体"/>
                <w:b/>
                <w:i w:val="0"/>
                <w:snapToGrid/>
                <w:color w:val="000000"/>
                <w:sz w:val="24"/>
                <w:u w:val="none"/>
                <w:lang w:eastAsia="zh-CN"/>
              </w:rPr>
            </w:pPr>
            <w:r>
              <w:rPr>
                <w:rFonts w:hint="default" w:ascii="宋体" w:hAnsi="宋体" w:eastAsia="宋体"/>
                <w:b/>
                <w:i w:val="0"/>
                <w:snapToGrid/>
                <w:color w:val="000000"/>
                <w:sz w:val="24"/>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2575"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娱乐场所检查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【行政法规】《娱乐场所管理条例》（国务院令第458 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歌舞娱乐场所播放、表演的节目是否含有禁止内容，使用的歌曲点播系统是否连接至境外曲库；歌舞娱乐场所是否接纳未成年人，是否擅自变更场所使用的歌曲点播系统；游艺娱乐场所是否设置未经文化主管部门内容核查的游戏游艺设备，是否擅自变更游戏游艺设备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娱乐场所</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2</w:t>
            </w:r>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艺术品经营活动检查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【部门规章】《艺术品经营管理办法》（文化部令第56号）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是否经营含有禁止内容的艺术品；经营的艺术品是否能够证明合法来源等。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艺术品</w:t>
            </w:r>
            <w:r>
              <w:rPr>
                <w:rFonts w:hint="eastAsia" w:ascii="Times New Roman" w:hAnsi="Times New Roman" w:eastAsia="仿宋_GB2312" w:cs="仿宋_GB2312"/>
                <w:sz w:val="20"/>
                <w:szCs w:val="20"/>
                <w:lang w:val="en-US" w:eastAsia="zh-CN"/>
              </w:rPr>
              <w:t>经营单位</w:t>
            </w:r>
          </w:p>
        </w:tc>
        <w:tc>
          <w:tcPr>
            <w:tcW w:w="1165"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auto"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互联网上网服务营业场所检查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【行政法规】《互联网上网服务营业场所管理条例》（国务院令第363号）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未悬挂《网络文化经营许可证》或未成年人禁入标志；是否未按规定核对、登记有效身份证件或者记录有关上网信息；是否擅自停止实施经营管理技术措施；是否未经规定手续变更名称、住所、法定代表人或主要负责人、网络地址或终止经营活动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互联网上网服务营业场所</w:t>
            </w:r>
          </w:p>
        </w:tc>
        <w:tc>
          <w:tcPr>
            <w:tcW w:w="1165" w:type="dxa"/>
            <w:tcBorders>
              <w:top w:val="single" w:color="auto" w:sz="4" w:space="0"/>
              <w:left w:val="single" w:color="auto" w:sz="4" w:space="0"/>
              <w:bottom w:val="single" w:color="auto"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auto" w:sz="4" w:space="0"/>
              <w:left w:val="single" w:color="000000" w:sz="4" w:space="0"/>
              <w:bottom w:val="single" w:color="auto" w:sz="4" w:space="0"/>
              <w:right w:val="single" w:color="auto"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2</w:t>
            </w:r>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互联网文化经营单位检查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【部门规章】《互联网文化管理暂行规定》（文化部令51号）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在网站主页的显著位置标明《网络文化经营许可证》编号或备案编号；经营进口、国产互联网文化产品的，是否在网站显著位置标明文化部批准文号、备案编号；是否擅自变更进口互联网文化产品的名称或增删内容；是否提供含有禁止内容或未经批准的互联网文化产品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r>
              <w:rPr>
                <w:rFonts w:hint="eastAsia" w:ascii="Times New Roman" w:hAnsi="Times New Roman" w:eastAsia="仿宋_GB2312" w:cs="仿宋_GB2312"/>
                <w:sz w:val="20"/>
                <w:szCs w:val="20"/>
                <w:lang w:eastAsia="zh-CN"/>
              </w:rPr>
              <w:t>、网络检查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互联网文化经营单位</w:t>
            </w:r>
          </w:p>
        </w:tc>
        <w:tc>
          <w:tcPr>
            <w:tcW w:w="1165"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auto"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文物保护单位检查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【法律】《中华人民共和国文物保护法》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rPr>
            </w:pPr>
            <w:r>
              <w:rPr>
                <w:rFonts w:hint="eastAsia" w:ascii="Times New Roman" w:hAnsi="Times New Roman" w:eastAsia="仿宋_GB2312" w:cs="仿宋_GB2312"/>
                <w:sz w:val="20"/>
                <w:szCs w:val="20"/>
              </w:rPr>
              <w:t>是否擅自在保护范围内进行工程建设或爆破、钻探、挖掘等作业；是否未经许可在建设控制地带内进行工程建设；是否擅自迁移、拆除、修缮或重建不可移动文物等。</w:t>
            </w:r>
          </w:p>
          <w:p>
            <w:pPr>
              <w:jc w:val="center"/>
              <w:rPr>
                <w:rFonts w:hint="default" w:ascii="Times New Roman" w:hAnsi="Times New Roman" w:eastAsia="仿宋_GB2312" w:cs="仿宋_GB2312"/>
                <w:sz w:val="20"/>
                <w:szCs w:val="20"/>
                <w:lang w:eastAsia="zh-CN"/>
              </w:rPr>
            </w:pP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文物保护单位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6</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文物经营活动检查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【法律】《中华人民共和国文物保护法》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是否未经许可，擅自设立文物商店、经营文物拍卖的拍卖企业，或者擅自从事文物的商业经营活</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rPr>
              <w:t>买卖国家禁止买卖的文物或者将禁止出境的文物转让、出租、质押给外国人</w:t>
            </w:r>
            <w:r>
              <w:rPr>
                <w:rFonts w:hint="eastAsia" w:ascii="Times New Roman" w:hAnsi="Times New Roman" w:eastAsia="仿宋_GB2312" w:cs="仿宋_GB2312"/>
                <w:sz w:val="20"/>
                <w:szCs w:val="20"/>
                <w:lang w:eastAsia="zh-CN"/>
              </w:rPr>
              <w:t>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文物经营活动</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7</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设置卫星地面接收设施单位检查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【部门规章】《&lt;卫星电视广播地面接收设施管理规定&gt;实施细则》（广播电影电视部令第11号）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擅自安装和使用卫星地面接收设施；持有《许可证》的单位是否按规定接收和使用卫星电视节目；是否擅自在车站、码头、机场、商店和影视厅等公共场所播放或以其它方式传播卫星传送的境外电视节目；是否利用卫星地面接收设施接收、传播反动淫秽的卫星电视节目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设置卫星地面接收设施单位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8</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广播电视节目制作传输发射单位检查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【行政法规】《广播电视管理条例》（国务院令第228号)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擅自设立广播电台、电视台、教育电视台、有线广播电视传输覆盖网、广播电视站；擅自设立广播电视节目制作经营单位或者擅自制作电视剧及其他广播电视节目；未经批准，擅自变更台名、台标、节目设置范围或者节目套数；出租、转让播出时段；转播、播放广播电视节目违反规定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广播电视节目制作传输发射单位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9</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电影放映单位检查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【行政法规】《电影管理条例》（国务院令第342号）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放映明知或者应知含有禁止内容的电影片；放映未取得《电影片公映许可证》的电影片；未经批准，擅自改建，拆除电影院或者放映设施等。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电影放映单位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w:t>
            </w:r>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10</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图书、电子音像发行单位</w:t>
            </w:r>
            <w:r>
              <w:rPr>
                <w:rFonts w:hint="eastAsia" w:ascii="Times New Roman" w:hAnsi="Times New Roman" w:eastAsia="仿宋_GB2312" w:cs="仿宋_GB2312"/>
                <w:sz w:val="20"/>
                <w:szCs w:val="20"/>
              </w:rPr>
              <w:t>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【行政法规】《出版管理条例》（国务院令第343号）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是否在明知或者应知的情况下印刷含有禁止内容的出版物、包装装潢印刷品或者其他印刷品；是否存在超出批准范围的出版行为；是否建立承印验证、承印登记、印刷品保管、印刷品交付和印刷活动残次品销毁制度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图书、电子音像发行单位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w:t>
            </w:r>
            <w:r>
              <w:rPr>
                <w:rFonts w:hint="default" w:ascii="Times New Roman" w:hAnsi="Times New Roman" w:eastAsia="仿宋_GB2312" w:cs="仿宋_GB2312"/>
                <w:sz w:val="20"/>
                <w:szCs w:val="20"/>
                <w:lang w:eastAsia="zh-CN"/>
              </w:rPr>
              <w:t>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11</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印刷品经营单位检查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【行政法规】《印刷业管理条例》（国务院令第315号）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印刷业经营者印刷明知或者应知含有禁止印刷内容的出版物、包装装潢印刷品或者其他印刷品的，或者印刷国家明令禁止出版的出版物或者非出版单位出版的出版物；没有建立承印验证制度、承印登记制度、印刷品保管制度、印刷品交付制度、印刷活动残次品销毁制度。</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印刷企业（含复制单位）</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12</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新闻活动监督管理</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rPr>
            </w:pPr>
            <w:r>
              <w:rPr>
                <w:rFonts w:hint="eastAsia" w:ascii="Times New Roman" w:hAnsi="Times New Roman" w:eastAsia="仿宋_GB2312" w:cs="仿宋_GB2312"/>
                <w:sz w:val="20"/>
                <w:szCs w:val="20"/>
              </w:rPr>
              <w:t>【部门规章】《新闻记者证管理办法》（新闻出版总署令第44号）</w:t>
            </w: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【部门规章】《报刊记者站管理办法》（新闻出版总署令第43号）</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社会组织或者个人擅自从事新闻采访活动；报刊出版单位、报刊记者站违规从事相关经营活动；擅自设立报刊记者站或者假冒、盗用报刊记者站名义开展活动。</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rPr>
              <w:t>新闻机构</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新闻记者</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13</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rPr>
              <w:t>版权管理</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【法律】《中华人民共和国著作权法》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未经著作权人许可，复制、发行、表演、放映、广播、汇编、通过信息网络向公众传播其作品；制作、出售假冒他人署名的作品等</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公民、法人、其他组织</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14</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 xml:space="preserve"> A级旅游景区、星级饭店、星级乡村旅游接待点检查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w:t>
            </w:r>
            <w:r>
              <w:rPr>
                <w:rFonts w:hint="default" w:ascii="Times New Roman" w:hAnsi="Times New Roman" w:eastAsia="仿宋_GB2312" w:cs="仿宋_GB2312"/>
                <w:sz w:val="20"/>
                <w:szCs w:val="20"/>
                <w:lang w:eastAsia="zh-CN"/>
              </w:rPr>
              <w:t>《中华人民共和国旅游法》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设施和服务是否低于相应的标准</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未取得质量等级的旅游企业是否使用相关质量等级的称谓和标识</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A级旅游景区、星级饭店、星级乡村旅游接待点</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15</w:t>
            </w: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导游和领队检查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w:t>
            </w:r>
            <w:r>
              <w:rPr>
                <w:rFonts w:hint="default" w:ascii="Times New Roman" w:hAnsi="Times New Roman" w:eastAsia="仿宋_GB2312" w:cs="仿宋_GB2312"/>
                <w:sz w:val="20"/>
                <w:szCs w:val="20"/>
                <w:lang w:eastAsia="zh-CN"/>
              </w:rPr>
              <w:t>《中华人民共和国旅游法</w:t>
            </w:r>
          </w:p>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部门规章</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《导游管理办法》</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服务行为是否合法、规范</w:t>
            </w:r>
            <w:r>
              <w:rPr>
                <w:rFonts w:hint="eastAsia" w:ascii="Times New Roman" w:hAnsi="Times New Roman" w:eastAsia="仿宋_GB2312" w:cs="仿宋_GB2312"/>
                <w:sz w:val="20"/>
                <w:szCs w:val="20"/>
                <w:lang w:eastAsia="zh-CN"/>
              </w:rPr>
              <w:t>；</w:t>
            </w: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导游是否取得导游证，领队是否备案；导游带团是否开启导游执业APP；导游为旅游者提供服务是否接受旅行社委派；是否拒绝、逃避检查，或者欺骗检查人员</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 xml:space="preserve"> </w:t>
            </w: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在导游活动中是否佩带导游身份标识</w:t>
            </w:r>
            <w:r>
              <w:rPr>
                <w:rFonts w:hint="eastAsia" w:ascii="Times New Roman" w:hAnsi="Times New Roman" w:eastAsia="仿宋_GB2312" w:cs="仿宋_GB2312"/>
                <w:sz w:val="20"/>
                <w:szCs w:val="20"/>
                <w:lang w:eastAsia="zh-CN"/>
              </w:rPr>
              <w:t>。</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导游、领队</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5" w:type="dxa"/>
            <w:bottom w:w="0" w:type="dxa"/>
            <w:right w:w="15" w:type="dxa"/>
          </w:tblCellMar>
        </w:tblPrEx>
        <w:trPr>
          <w:trHeight w:val="900" w:hRule="atLeast"/>
        </w:trPr>
        <w:tc>
          <w:tcPr>
            <w:tcW w:w="7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lang w:val="en-US" w:eastAsia="zh-CN"/>
              </w:rPr>
            </w:pPr>
          </w:p>
        </w:tc>
        <w:tc>
          <w:tcPr>
            <w:tcW w:w="15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Times New Roman" w:hAnsi="Times New Roman" w:eastAsia="仿宋_GB2312" w:cs="仿宋_GB2312"/>
                <w:sz w:val="20"/>
                <w:szCs w:val="20"/>
                <w:lang w:val="en-US" w:eastAsia="zh-CN"/>
              </w:rPr>
            </w:pPr>
            <w:r>
              <w:rPr>
                <w:rFonts w:hint="eastAsia" w:ascii="Times New Roman" w:hAnsi="Times New Roman" w:eastAsia="仿宋_GB2312" w:cs="仿宋_GB2312"/>
                <w:sz w:val="20"/>
                <w:szCs w:val="20"/>
                <w:lang w:val="en-US" w:eastAsia="zh-CN"/>
              </w:rPr>
              <w:t>旅行社检查</w:t>
            </w:r>
          </w:p>
        </w:tc>
        <w:tc>
          <w:tcPr>
            <w:tcW w:w="322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eastAsia="zh-CN"/>
              </w:rPr>
              <w:t>【法律】</w:t>
            </w:r>
            <w:r>
              <w:rPr>
                <w:rFonts w:hint="default" w:ascii="Times New Roman" w:hAnsi="Times New Roman" w:eastAsia="仿宋_GB2312" w:cs="仿宋_GB2312"/>
                <w:sz w:val="20"/>
                <w:szCs w:val="20"/>
                <w:lang w:eastAsia="zh-CN"/>
              </w:rPr>
              <w:t xml:space="preserve">《中华人民共和国旅游法》  </w:t>
            </w:r>
            <w:r>
              <w:rPr>
                <w:rFonts w:hint="eastAsia" w:ascii="Times New Roman" w:hAnsi="Times New Roman" w:eastAsia="仿宋_GB2312" w:cs="仿宋_GB2312"/>
                <w:sz w:val="20"/>
                <w:szCs w:val="20"/>
                <w:lang w:eastAsia="zh-CN"/>
              </w:rPr>
              <w:t>【</w:t>
            </w:r>
            <w:r>
              <w:rPr>
                <w:rFonts w:hint="eastAsia" w:ascii="Times New Roman" w:hAnsi="Times New Roman" w:eastAsia="仿宋_GB2312" w:cs="仿宋_GB2312"/>
                <w:sz w:val="20"/>
                <w:szCs w:val="20"/>
                <w:lang w:val="en-US" w:eastAsia="zh-CN"/>
              </w:rPr>
              <w:t>行政法规</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《旅行社条例》</w:t>
            </w:r>
          </w:p>
        </w:tc>
        <w:tc>
          <w:tcPr>
            <w:tcW w:w="31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经营旅行社业务是否取得经营、执业许可</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是否与导游等长期聘用人员签订劳动合同，并办理相关社会保险</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是否与旅游者签订旅游合同、提供与合同内容相符的旅游服务</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是否依法经营，有无不合理低价、虚假广告、价格欺诈等不正当竞争行为及损害消费者合法权益的行为</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分支机构的名称、标牌、经营范围等是否符合法律规定</w:t>
            </w:r>
            <w:r>
              <w:rPr>
                <w:rFonts w:hint="eastAsia" w:ascii="Times New Roman" w:hAnsi="Times New Roman" w:eastAsia="仿宋_GB2312" w:cs="仿宋_GB2312"/>
                <w:sz w:val="20"/>
                <w:szCs w:val="20"/>
                <w:lang w:eastAsia="zh-CN"/>
              </w:rPr>
              <w:t>；</w:t>
            </w:r>
            <w:r>
              <w:rPr>
                <w:rFonts w:hint="default" w:ascii="Times New Roman" w:hAnsi="Times New Roman" w:eastAsia="仿宋_GB2312" w:cs="仿宋_GB2312"/>
                <w:sz w:val="20"/>
                <w:szCs w:val="20"/>
                <w:lang w:eastAsia="zh-CN"/>
              </w:rPr>
              <w:t>经营场所、营业设施、注册资本等基础性经营条件是否符合法律规定</w:t>
            </w:r>
            <w:r>
              <w:rPr>
                <w:rFonts w:hint="eastAsia" w:ascii="Times New Roman" w:hAnsi="Times New Roman" w:eastAsia="仿宋_GB2312" w:cs="仿宋_GB2312"/>
                <w:sz w:val="20"/>
                <w:szCs w:val="20"/>
                <w:lang w:eastAsia="zh-CN"/>
              </w:rPr>
              <w:t>。</w:t>
            </w:r>
          </w:p>
        </w:tc>
        <w:tc>
          <w:tcPr>
            <w:tcW w:w="1038"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现场检查</w:t>
            </w:r>
          </w:p>
        </w:tc>
        <w:tc>
          <w:tcPr>
            <w:tcW w:w="100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旅行社</w:t>
            </w:r>
          </w:p>
        </w:tc>
        <w:tc>
          <w:tcPr>
            <w:tcW w:w="116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r>
              <w:rPr>
                <w:rFonts w:hint="eastAsia" w:ascii="Times New Roman" w:hAnsi="Times New Roman" w:eastAsia="仿宋_GB2312" w:cs="仿宋_GB2312"/>
                <w:sz w:val="20"/>
                <w:szCs w:val="20"/>
                <w:lang w:val="en-US" w:eastAsia="zh-CN"/>
              </w:rPr>
              <w:t>10%</w:t>
            </w:r>
          </w:p>
        </w:tc>
        <w:tc>
          <w:tcPr>
            <w:tcW w:w="145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p>
            <w:pPr>
              <w:jc w:val="center"/>
              <w:rPr>
                <w:rFonts w:hint="default" w:ascii="Times New Roman" w:hAnsi="Times New Roman" w:eastAsia="仿宋_GB2312" w:cs="仿宋_GB2312"/>
                <w:sz w:val="20"/>
                <w:szCs w:val="20"/>
                <w:lang w:eastAsia="zh-CN"/>
              </w:rPr>
            </w:pPr>
            <w:r>
              <w:rPr>
                <w:rFonts w:hint="default" w:ascii="Times New Roman" w:hAnsi="Times New Roman" w:eastAsia="仿宋_GB2312" w:cs="仿宋_GB2312"/>
                <w:sz w:val="20"/>
                <w:szCs w:val="20"/>
                <w:lang w:eastAsia="zh-CN"/>
              </w:rPr>
              <w:t>1次/</w:t>
            </w:r>
            <w:r>
              <w:rPr>
                <w:rFonts w:hint="eastAsia" w:ascii="Times New Roman" w:hAnsi="Times New Roman" w:eastAsia="仿宋_GB2312" w:cs="仿宋_GB2312"/>
                <w:sz w:val="20"/>
                <w:szCs w:val="20"/>
                <w:lang w:val="en-US" w:eastAsia="zh-CN"/>
              </w:rPr>
              <w:t>月</w:t>
            </w:r>
          </w:p>
          <w:p>
            <w:pPr>
              <w:jc w:val="center"/>
              <w:rPr>
                <w:rFonts w:hint="default" w:ascii="Times New Roman" w:hAnsi="Times New Roman" w:eastAsia="仿宋_GB2312" w:cs="仿宋_GB2312"/>
                <w:sz w:val="20"/>
                <w:szCs w:val="20"/>
                <w:lang w:eastAsia="zh-CN"/>
              </w:rPr>
            </w:pP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仿宋_GB2312" w:cs="仿宋_GB2312"/>
                <w:sz w:val="20"/>
                <w:szCs w:val="20"/>
                <w:lang w:eastAsia="zh-CN"/>
              </w:rPr>
            </w:pPr>
          </w:p>
        </w:tc>
      </w:tr>
    </w:tbl>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DA21E2"/>
    <w:rsid w:val="0A8C63E0"/>
    <w:rsid w:val="0CFA40A0"/>
    <w:rsid w:val="0EAF2DD4"/>
    <w:rsid w:val="63DA21E2"/>
    <w:rsid w:val="68C35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2019-10-16T03:09:00Z</dcterms:created>
  <dc:creator>Lenovo</dc:creator>
  <cp:lastModifiedBy>闫志龙</cp:lastModifiedBy>
  <dcterms:modified xsi:type="dcterms:W3CDTF">2020-07-24T03:00:22Z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