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45" w:beforeAutospacing="0" w:after="375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朔州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市农业农村局行政执法事项服务指南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45" w:beforeAutospacing="0" w:after="375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（行政处罚类）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一、事项编码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1500-B-00100-140600----1500-B-21300-140600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二、实施部门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农业综合行政执法队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三、事项类别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行政处罚事项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四、适用范围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本指南适用于农业行政处罚事项。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五、设立依据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依据《中华人民共和国种子法》、《中华人民共和国畜牧法》、《中华人民共和国动物防疫法》、《中华人民共和国农产品质量安全法》、《中华人民共和国农药管理条例》、《肥料登记管理办法》、《山西省促进雁门关农牧交错带发展条例》、《中华人民共和国野生植物保护条例》、《中华人民共和国植物新品种保护条例》、《乳品质量安全监督管理条例》、《农业转基因生物安全管理条例》、《兽药管理条例》、《农业机械安全监督管理条例》、《中华人民共和国行政处罚法》等有关法律法规和规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六、办理条件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违法相关法律法规。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七、申办材料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制作笔录、抽样取证、收集书证、物证、鉴定、勘验等。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八、办理方式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简易程序或一般程序。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九、办理流程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发现违法事实→立案→调查取证（2人以上）→审查→处罚决定预先告知→（重大案件）听证程序→重大案件集体讨论决定→处罚决定→送达→执行→结案。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十、办理时限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依照《中华人民共和国行政处罚法》有关规定执行。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十一、收费依据及标准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十二、结果送达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行政处罚决定书应当在宣告后当场交付当事人；当事人不在场的，行政机关应当在七日内依照民事诉讼法的有关规定，将行政处罚决定书送达当事人。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十三、行政救济途径与方式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当事人申请行政复议和提起行政诉讼。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十四、咨询方式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咨询：朔州市农业综合行政执法队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咨询电话：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十五、监督投诉渠道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监督电话：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十六、办理进程和结果查询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局公示栏公示。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十七、办理流程图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95925" cy="9096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57D21"/>
    <w:rsid w:val="0A157D21"/>
    <w:rsid w:val="10C77FA5"/>
    <w:rsid w:val="24B4321B"/>
    <w:rsid w:val="39172D46"/>
    <w:rsid w:val="50C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2021-06-17T10:27:00Z</dcterms:created>
  <dc:creator>liweiling</dc:creator>
  <cp:lastModifiedBy>SZX_BGS_P</cp:lastModifiedBy>
  <dcterms:modified xsi:type="dcterms:W3CDTF">2021-09-18T01:54:39Z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78AF16065EBF453180A9D078EF6748C5</vt:lpwstr>
  </property>
</Properties>
</file>