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3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朔州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  <w:t>市农业农村局行政执法事项服务指南（行政检查类）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一、事项编码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1500-J-00100-140600----15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00-J-03300-140600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二、实施部门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相关科站、农业综合行政执法队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三、事项类别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行政检查事项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四、适用范围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本指南适用于农业行政检查事项。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五、设立依据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依据《中华人民共和国种子法》、《中华人民共和国动物防疫法》、《农药管理条例》、《兽药管理条例》、《生猪屠宰管理条例》、《饲料和饲料添加剂管理条例》、《肥料登记管理办法》等有关法律法规和规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六、办理条件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根据法定职权，开展相关检查。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七、申办材料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根据上级安排和实际工作需要制定检查计划，根据“双随机、一公开”要求开展相关检查。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八、办理方式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重点监管、“双随机、一公开”。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九、办理流程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制定检查计划→实地检查、查阅资料或座谈→形成检查情况报告→提出整改意见和工作要求→公开检查结果。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十、办理时限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根据相关法律法规和具体工作确定。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十一、收费依据及标准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十二、结果送达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提出整改意见，公开抽查情况。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十三、行政救济途径与方式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当事人向行政执法部门申请进行听证、陈述申辩。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十四、咨询方式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咨询：朔州市农业综合行政执法队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十五、监督投诉渠道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监督电话：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十六、办理进程和结果查询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局公示栏公示。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十七、办理流程图</w:t>
      </w:r>
    </w:p>
    <w:p>
      <w:pPr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114300" distR="114300">
            <wp:extent cx="5429250" cy="6391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10C00"/>
    <w:rsid w:val="19CD7EE3"/>
    <w:rsid w:val="43660936"/>
    <w:rsid w:val="5E55787F"/>
    <w:rsid w:val="7DE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2021-06-17T10:17:00Z</dcterms:created>
  <dc:creator>liweiling</dc:creator>
  <cp:lastModifiedBy>SZX_BGS_P</cp:lastModifiedBy>
  <dcterms:modified xsi:type="dcterms:W3CDTF">2021-09-18T01:54:58Z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BB74BF153341460AA2D72D96E118FE49</vt:lpwstr>
  </property>
</Properties>
</file>