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345" w:beforeAutospacing="0" w:after="375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朔州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市农业农村局行政执法事项服务指南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345" w:beforeAutospacing="0" w:after="375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</w:rPr>
        <w:t>（行政强制类）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事项编码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1500-C-00100-140600----1500-C-020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00-140600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二、实施部门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农业综合行政执法队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三、事项类别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行政强制事项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四、适用范围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本指南适用于农业行政强制事项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五、设立依据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依据《中华人民共和国种子法》、《中华人民共和国农产品质量安全法》、《中华人民共和国植物新品种保护条例》、《农药管理条例》、《兽药管理条例》、《农业转基因生物安全管理条例》、《植物检疫条例》、《乳品质量安全监督管理条例》、《饲料和饲料添加剂管理条例》、《农机机械安全监督管理条例》、《中华人民共和国行政强制法》等有关法律法规和规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六、办理条件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违法相关法律法规。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七、申办材料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制作笔录、抽样取证、收集书证、物证、鉴定、勘验等。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八、办理方式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一般规定、查封、扣押。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九、办理流程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发现违法行为→向行政机关负责人报告→下达行政强制决定书→执行强制措施。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十、办理时限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依照《中华人民共和国行政强制法》有关规定执行。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十一、收费依据及标准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十二、结果送达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行政机关决定实施查封、扣押的，应当履行法定程序，制作并当场交付查封、扣押决定书和清单。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十三、行政救济途径与方式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当事人申请行政复议和提起行政诉讼。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十四、咨询方式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咨询：朔州市农业综合行政执法队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咨询电话：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十五、监督投诉渠道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监督电话：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333333"/>
          <w:sz w:val="28"/>
          <w:szCs w:val="28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十六、办理进程和结果查询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color w:val="333333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局公示栏公示。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办理流程图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254635</wp:posOffset>
            </wp:positionV>
            <wp:extent cx="6276975" cy="8162925"/>
            <wp:effectExtent l="0" t="0" r="9525" b="9525"/>
            <wp:wrapSquare wrapText="bothSides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8786BA"/>
    <w:multiLevelType w:val="singleLevel"/>
    <w:tmpl w:val="FA8786BA"/>
    <w:lvl w:ilvl="0" w:tentative="0">
      <w:start w:val="1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20B520"/>
    <w:multiLevelType w:val="singleLevel"/>
    <w:tmpl w:val="FE20B5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A680A"/>
    <w:rsid w:val="69F50ABC"/>
    <w:rsid w:val="6CEF0D28"/>
    <w:rsid w:val="71495E7E"/>
    <w:rsid w:val="7A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2021-06-17T10:31:00Z</dcterms:created>
  <dc:creator>liweiling</dc:creator>
  <cp:lastModifiedBy>跃跃</cp:lastModifiedBy>
  <dcterms:modified xsi:type="dcterms:W3CDTF">2021-09-18T09:03:14Z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157BB64836BA4282A6AA20E54B612B24</vt:lpwstr>
  </property>
</Properties>
</file>