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110" w:line="219" w:lineRule="auto"/>
        <w:ind w:left="4240"/>
        <w:outlineLvl w:val="0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0"/>
          <w:sz w:val="34"/>
          <w:szCs w:val="34"/>
        </w:rPr>
        <w:t>朔 州 市 中</w:t>
      </w:r>
      <w:r>
        <w:rPr>
          <w:rFonts w:ascii="宋体" w:hAnsi="宋体" w:eastAsia="宋体" w:cs="宋体"/>
          <w:spacing w:val="9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0"/>
          <w:sz w:val="34"/>
          <w:szCs w:val="34"/>
        </w:rPr>
        <w:t>心 血 站</w:t>
      </w:r>
    </w:p>
    <w:p>
      <w:pPr>
        <w:pStyle w:val="2"/>
        <w:spacing w:line="319" w:lineRule="auto"/>
      </w:pPr>
    </w:p>
    <w:p>
      <w:pPr>
        <w:pStyle w:val="2"/>
        <w:spacing w:line="320" w:lineRule="auto"/>
      </w:pPr>
    </w:p>
    <w:p>
      <w:pPr>
        <w:spacing w:before="111" w:line="217" w:lineRule="auto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1"/>
          <w:sz w:val="34"/>
          <w:szCs w:val="34"/>
        </w:rPr>
        <w:t>2 0 2 3</w:t>
      </w:r>
      <w:r>
        <w:rPr>
          <w:rFonts w:ascii="宋体" w:hAnsi="宋体" w:eastAsia="宋体" w:cs="宋体"/>
          <w:spacing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年 度</w:t>
      </w:r>
      <w:r>
        <w:rPr>
          <w:rFonts w:ascii="宋体" w:hAnsi="宋体" w:eastAsia="宋体" w:cs="宋体"/>
          <w:spacing w:val="-7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单</w:t>
      </w:r>
      <w:r>
        <w:rPr>
          <w:rFonts w:ascii="宋体" w:hAnsi="宋体" w:eastAsia="宋体" w:cs="宋体"/>
          <w:spacing w:val="-14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位</w:t>
      </w:r>
      <w:r>
        <w:rPr>
          <w:rFonts w:ascii="宋体" w:hAnsi="宋体" w:eastAsia="宋体" w:cs="宋体"/>
          <w:spacing w:val="-18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预</w:t>
      </w:r>
      <w:r>
        <w:rPr>
          <w:rFonts w:ascii="宋体" w:hAnsi="宋体" w:eastAsia="宋体" w:cs="宋体"/>
          <w:spacing w:val="-6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算</w:t>
      </w:r>
      <w:r>
        <w:rPr>
          <w:rFonts w:ascii="宋体" w:hAnsi="宋体" w:eastAsia="宋体" w:cs="宋体"/>
          <w:spacing w:val="-15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开</w:t>
      </w:r>
    </w:p>
    <w:p>
      <w:pPr>
        <w:spacing w:line="217" w:lineRule="auto"/>
        <w:rPr>
          <w:rFonts w:ascii="宋体" w:hAnsi="宋体" w:eastAsia="宋体" w:cs="宋体"/>
          <w:sz w:val="34"/>
          <w:szCs w:val="34"/>
        </w:rPr>
        <w:sectPr>
          <w:headerReference r:id="rId3" w:type="default"/>
          <w:pgSz w:w="11900" w:h="16840"/>
          <w:pgMar w:top="400" w:right="86" w:bottom="0" w:left="0" w:header="0" w:footer="0" w:gutter="0"/>
          <w:cols w:space="720" w:num="1"/>
        </w:sectPr>
      </w:pPr>
    </w:p>
    <w:p>
      <w:pPr>
        <w:pStyle w:val="2"/>
        <w:spacing w:line="456" w:lineRule="auto"/>
      </w:pPr>
      <w:r>
        <w:pict>
          <v:shape id="_x0000_s1026" o:spid="_x0000_s1026" o:spt="202" type="#_x0000_t202" style="position:absolute;left:0pt;margin-left:91.6pt;margin-top:306.8pt;height:167.6pt;width:438.4pt;mso-position-horizontal-relative:page;mso-position-vertical-relative:page;z-index:251659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355" w:lineRule="auto"/>
                    <w:ind w:left="20" w:right="20"/>
                    <w:jc w:val="both"/>
                    <w:rPr>
                      <w:rFonts w:ascii="仿宋" w:hAnsi="仿宋" w:eastAsia="仿宋" w:cs="仿宋"/>
                      <w:sz w:val="26"/>
                      <w:szCs w:val="26"/>
                    </w:rPr>
                  </w:pP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2023年一般公共预算支出预算表（不含上年结转）</w:t>
                  </w:r>
                  <w:r>
                    <w:rPr>
                      <w:rFonts w:ascii="仿宋" w:hAnsi="仿宋" w:eastAsia="仿宋" w:cs="仿宋"/>
                      <w:spacing w:val="56"/>
                      <w:sz w:val="26"/>
                      <w:szCs w:val="26"/>
                    </w:rPr>
                    <w:t xml:space="preserve">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1762125" cy="12700"/>
                        <wp:effectExtent l="0" t="0" r="0" b="0"/>
                        <wp:docPr id="2" name="IM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 2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2564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4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8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5"/>
                      <w:sz w:val="26"/>
                      <w:szCs w:val="26"/>
                    </w:rPr>
                    <w:t>2023年一般公共预算安排基本支出分经济科</w:t>
                  </w:r>
                  <w:r>
                    <w:rPr>
                      <w:rFonts w:ascii="仿宋" w:hAnsi="仿宋" w:eastAsia="仿宋" w:cs="仿宋"/>
                      <w:spacing w:val="-6"/>
                      <w:sz w:val="26"/>
                      <w:szCs w:val="26"/>
                    </w:rPr>
                    <w:t>目表（不含上年结转）</w:t>
                  </w:r>
                  <w:r>
                    <w:rPr>
                      <w:rFonts w:ascii="仿宋" w:hAnsi="仿宋" w:eastAsia="仿宋" w:cs="仿宋"/>
                      <w:spacing w:val="66"/>
                      <w:sz w:val="26"/>
                      <w:szCs w:val="26"/>
                    </w:rPr>
                    <w:t xml:space="preserve">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588645" cy="12700"/>
                        <wp:effectExtent l="0" t="0" r="0" b="0"/>
                        <wp:docPr id="4" name="IM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 4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9262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2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6"/>
                      <w:sz w:val="26"/>
                      <w:szCs w:val="26"/>
                    </w:rPr>
                    <w:t>9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 xml:space="preserve">2023年政府性基金预算收入表（不含上年结转）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1930400" cy="127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1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10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 xml:space="preserve">2023年政府性基金预算支出表（不含上年结转）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1930400" cy="12700"/>
                        <wp:effectExtent l="0" t="0" r="0" b="0"/>
                        <wp:docPr id="8" name="IM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 8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1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11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2023年国有资本经营预算收支预算表（不含上年结转）</w:t>
                  </w:r>
                  <w:r>
                    <w:rPr>
                      <w:rFonts w:ascii="仿宋" w:hAnsi="仿宋" w:eastAsia="仿宋" w:cs="仿宋"/>
                      <w:spacing w:val="59"/>
                      <w:sz w:val="26"/>
                      <w:szCs w:val="26"/>
                    </w:rPr>
                    <w:t xml:space="preserve">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1377950" cy="12700"/>
                        <wp:effectExtent l="0" t="0" r="0" b="0"/>
                        <wp:docPr id="10" name="IM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 1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8075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6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7"/>
                      <w:sz w:val="26"/>
                      <w:szCs w:val="26"/>
                    </w:rPr>
                    <w:t>12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2023年一般公共预算“三公”经费支出预算表</w:t>
                  </w:r>
                  <w:r>
                    <w:rPr>
                      <w:rFonts w:ascii="仿宋" w:hAnsi="仿宋" w:eastAsia="仿宋" w:cs="仿宋"/>
                      <w:spacing w:val="-74"/>
                      <w:sz w:val="26"/>
                      <w:szCs w:val="26"/>
                    </w:rPr>
                    <w:t xml:space="preserve">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2019300" cy="12700"/>
                        <wp:effectExtent l="0" t="0" r="0" b="0"/>
                        <wp:docPr id="12" name="IM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 12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644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5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13</w:t>
                  </w:r>
                </w:p>
                <w:p>
                  <w:pPr>
                    <w:spacing w:before="1" w:line="220" w:lineRule="auto"/>
                    <w:ind w:left="20"/>
                    <w:rPr>
                      <w:rFonts w:ascii="仿宋" w:hAnsi="仿宋" w:eastAsia="仿宋" w:cs="仿宋"/>
                      <w:sz w:val="26"/>
                      <w:szCs w:val="26"/>
                    </w:rPr>
                  </w:pPr>
                  <w:r>
                    <w:rPr>
                      <w:rFonts w:ascii="仿宋" w:hAnsi="仿宋" w:eastAsia="仿宋" w:cs="仿宋"/>
                      <w:spacing w:val="-1"/>
                      <w:sz w:val="26"/>
                      <w:szCs w:val="26"/>
                    </w:rPr>
                    <w:t>2023年机关运行经费预算财政拨款情况统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计表</w:t>
                  </w:r>
                  <w:r>
                    <w:rPr>
                      <w:rFonts w:ascii="仿宋" w:hAnsi="仿宋" w:eastAsia="仿宋" w:cs="仿宋"/>
                      <w:spacing w:val="-80"/>
                      <w:sz w:val="26"/>
                      <w:szCs w:val="26"/>
                    </w:rPr>
                    <w:t xml:space="preserve"> </w:t>
                  </w:r>
                  <w:r>
                    <w:rPr>
                      <w:position w:val="-1"/>
                      <w:sz w:val="26"/>
                      <w:szCs w:val="26"/>
                    </w:rPr>
                    <w:drawing>
                      <wp:inline distT="0" distB="0" distL="0" distR="0">
                        <wp:extent cx="2019300" cy="12700"/>
                        <wp:effectExtent l="0" t="0" r="0" b="0"/>
                        <wp:docPr id="14" name="IM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 14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644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eastAsia="仿宋" w:cs="仿宋"/>
                      <w:spacing w:val="-5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14</w:t>
                  </w:r>
                </w:p>
              </w:txbxContent>
            </v:textbox>
          </v:shape>
        </w:pict>
      </w:r>
    </w:p>
    <w:p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>
      <w:pPr>
        <w:pStyle w:val="2"/>
        <w:spacing w:line="267" w:lineRule="auto"/>
      </w:pPr>
    </w:p>
    <w:p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"/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4679950" cy="12700"/>
                <wp:effectExtent l="0" t="0" r="0" b="0"/>
                <wp:docPr id="16" name="IM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 16"/>
                        <pic:cNvPicPr/>
                      </pic:nvPicPr>
                      <pic:blipFill>
                        <a:blip r:embed="rId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2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>
          <w:pPr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pacing w:val="-115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4324350" cy="12700"/>
                <wp:effectExtent l="0" t="0" r="0" b="0"/>
                <wp:docPr id="18" name="IM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 18"/>
                        <pic:cNvPicPr/>
                      </pic:nvPicPr>
                      <pic:blipFill>
                        <a:blip r:embed="rId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083050" cy="12700"/>
                <wp:effectExtent l="0" t="0" r="0" b="0"/>
                <wp:docPr id="20" name="IM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 20"/>
                        <pic:cNvPicPr/>
                      </pic:nvPicPr>
                      <pic:blipFill>
                        <a:blip r:embed="rId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28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spacing w:before="186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2023年单位预算报表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368675" cy="12700"/>
                <wp:effectExtent l="0" t="0" r="0" b="0"/>
                <wp:docPr id="22" name="IM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 22"/>
                        <pic:cNvPicPr/>
                      </pic:nvPicPr>
                      <pic:blipFill>
                        <a:blip r:embed="rId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8851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2023年预算收支总表</w:t>
          </w:r>
          <w:r>
            <w:rPr>
              <w:rFonts w:ascii="仿宋" w:hAnsi="仿宋" w:eastAsia="仿宋" w:cs="仿宋"/>
              <w:spacing w:val="-8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898900" cy="12700"/>
                <wp:effectExtent l="0" t="0" r="0" b="0"/>
                <wp:docPr id="24" name="IM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 24"/>
                        <pic:cNvPicPr/>
                      </pic:nvPicPr>
                      <pic:blipFill>
                        <a:blip r:embed="rId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90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2023年预算收入总表</w:t>
          </w:r>
          <w:r>
            <w:rPr>
              <w:rFonts w:ascii="仿宋" w:hAnsi="仿宋" w:eastAsia="仿宋" w:cs="仿宋"/>
              <w:spacing w:val="-8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898900" cy="12700"/>
                <wp:effectExtent l="0" t="0" r="0" b="0"/>
                <wp:docPr id="26" name="IM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 26"/>
                        <pic:cNvPicPr/>
                      </pic:nvPicPr>
                      <pic:blipFill>
                        <a:blip r:embed="rId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90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2023年预算支出总表</w:t>
          </w:r>
          <w:r>
            <w:rPr>
              <w:rFonts w:ascii="仿宋" w:hAnsi="仿宋" w:eastAsia="仿宋" w:cs="仿宋"/>
              <w:spacing w:val="-8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898900" cy="12700"/>
                <wp:effectExtent l="0" t="0" r="0" b="0"/>
                <wp:docPr id="28" name="IM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 28"/>
                        <pic:cNvPicPr/>
                      </pic:nvPicPr>
                      <pic:blipFill>
                        <a:blip r:embed="rId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90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"/>
              <w:sz w:val="26"/>
              <w:szCs w:val="26"/>
            </w:rPr>
            <w:t>2023年财政拨款收支总表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568700" cy="12700"/>
                <wp:effectExtent l="0" t="0" r="0" b="0"/>
                <wp:docPr id="30" name="IM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 30"/>
                        <pic:cNvPicPr/>
                      </pic:nvPicPr>
                      <pic:blipFill>
                        <a:blip r:embed="rId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902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39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</w:sdtContent>
    </w:sdt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2"/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spacing w:before="86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9"/>
              <w:sz w:val="26"/>
              <w:szCs w:val="26"/>
            </w:rPr>
            <w:t>2023年项目支出预算表（本年预算）</w:t>
          </w:r>
          <w:r>
            <w:rPr>
              <w:rFonts w:ascii="仿宋" w:hAnsi="仿宋" w:eastAsia="仿宋" w:cs="仿宋"/>
              <w:spacing w:val="72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60650" cy="12700"/>
                <wp:effectExtent l="0" t="0" r="0" b="0"/>
                <wp:docPr id="32" name="IM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 32"/>
                        <pic:cNvPicPr/>
                      </pic:nvPicPr>
                      <pic:blipFill>
                        <a:blip r:embed="rId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86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>
          <w:pPr>
            <w:spacing w:before="187" w:line="219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9"/>
              <w:sz w:val="26"/>
              <w:szCs w:val="26"/>
            </w:rPr>
            <w:t>2023年项目支出预算表（上年结转）</w:t>
          </w:r>
          <w:r>
            <w:rPr>
              <w:rFonts w:ascii="仿宋" w:hAnsi="仿宋" w:eastAsia="仿宋" w:cs="仿宋"/>
              <w:spacing w:val="57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70175" cy="12700"/>
                <wp:effectExtent l="0" t="0" r="0" b="0"/>
                <wp:docPr id="34" name="IM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 34"/>
                        <pic:cNvPicPr/>
                      </pic:nvPicPr>
                      <pic:blipFill>
                        <a:blip r:embed="rId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37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>
          <w:pPr>
            <w:spacing w:before="192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t>2023年度单位预算情况说明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863850" cy="12700"/>
                <wp:effectExtent l="0" t="0" r="0" b="0"/>
                <wp:docPr id="36" name="IM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 36"/>
                        <pic:cNvPicPr/>
                      </pic:nvPicPr>
                      <pic:blipFill>
                        <a:blip r:embed="rId8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391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fldChar w:fldCharType="end"/>
          </w:r>
        </w:p>
        <w:p>
          <w:pPr>
            <w:spacing w:before="189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仿宋" w:hAnsi="仿宋" w:eastAsia="仿宋" w:cs="仿宋"/>
              <w:spacing w:val="-41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533650" cy="12700"/>
                <wp:effectExtent l="0" t="0" r="0" b="0"/>
                <wp:docPr id="38" name="IM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 38"/>
                        <pic:cNvPicPr/>
                      </pic:nvPicPr>
                      <pic:blipFill>
                        <a:blip r:embed="rId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85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8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二、收入预算情况说明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40150" cy="12700"/>
                <wp:effectExtent l="0" t="0" r="0" b="0"/>
                <wp:docPr id="40" name="IM 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 40"/>
                        <pic:cNvPicPr/>
                      </pic:nvPicPr>
                      <pic:blipFill>
                        <a:blip r:embed="rId8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1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05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三、支出预算情况说明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40150" cy="12700"/>
                <wp:effectExtent l="0" t="0" r="0" b="0"/>
                <wp:docPr id="42" name="IM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 42"/>
                        <pic:cNvPicPr/>
                      </pic:nvPicPr>
                      <pic:blipFill>
                        <a:blip r:embed="rId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1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04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60650" cy="12700"/>
                <wp:effectExtent l="0" t="0" r="0" b="0"/>
                <wp:docPr id="44" name="IM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IM 44"/>
                        <pic:cNvPicPr/>
                      </pic:nvPicPr>
                      <pic:blipFill>
                        <a:blip r:embed="rId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86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9"/>
              <w:sz w:val="26"/>
              <w:szCs w:val="26"/>
            </w:rPr>
            <w:t>五、</w:t>
          </w:r>
          <w:r>
            <w:rPr>
              <w:rFonts w:ascii="仿宋" w:hAnsi="仿宋" w:eastAsia="仿宋" w:cs="仿宋"/>
              <w:spacing w:val="-2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一般公共预算支出情况说明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990850" cy="12700"/>
                <wp:effectExtent l="0" t="0" r="0" b="0"/>
                <wp:docPr id="46" name="IM 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IM 46"/>
                        <pic:cNvPicPr/>
                      </pic:nvPicPr>
                      <pic:blipFill>
                        <a:blip r:embed="rId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114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8"/>
              <w:sz w:val="26"/>
              <w:szCs w:val="26"/>
            </w:rPr>
            <w:t>六、</w:t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一般公共预算基本支出情况说明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70175" cy="12700"/>
                <wp:effectExtent l="0" t="0" r="0" b="0"/>
                <wp:docPr id="48" name="IM 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IM 48"/>
                        <pic:cNvPicPr/>
                      </pic:nvPicPr>
                      <pic:blipFill>
                        <a:blip r:embed="rId9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37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>
          <w:pPr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64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60650" cy="12700"/>
                <wp:effectExtent l="0" t="0" r="0" b="0"/>
                <wp:docPr id="50" name="IM 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 50"/>
                        <pic:cNvPicPr/>
                      </pic:nvPicPr>
                      <pic:blipFill>
                        <a:blip r:embed="rId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86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spacing w:before="186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91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2670175" cy="12700"/>
                <wp:effectExtent l="0" t="0" r="0" b="0"/>
                <wp:docPr id="52" name="IM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 52"/>
                        <pic:cNvPicPr/>
                      </pic:nvPicPr>
                      <pic:blipFill>
                        <a:blip r:embed="rId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37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5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029075" cy="12700"/>
                <wp:effectExtent l="0" t="0" r="0" b="0"/>
                <wp:docPr id="54" name="IM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M 54"/>
                        <pic:cNvPicPr/>
                      </pic:nvPicPr>
                      <pic:blipFill>
                        <a:blip r:embed="rId9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9186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019550" cy="12700"/>
                <wp:effectExtent l="0" t="0" r="0" b="0"/>
                <wp:docPr id="56" name="IM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IM 56"/>
                        <pic:cNvPicPr/>
                      </pic:nvPicPr>
                      <pic:blipFill>
                        <a:blip r:embed="rId9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968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8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</w:sdtContent>
    </w:sdt>
    <w:p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4" w:type="default"/>
          <w:pgSz w:w="11900" w:h="16840"/>
          <w:pgMar w:top="400" w:right="86" w:bottom="0" w:left="0" w:header="0" w:footer="0" w:gutter="0"/>
          <w:cols w:space="720" w:num="1"/>
        </w:sectPr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3"/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194050" cy="12700"/>
                <wp:effectExtent l="0" t="0" r="0" b="0"/>
                <wp:docPr id="58" name="IM 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IM 58"/>
                        <pic:cNvPicPr/>
                      </pic:nvPicPr>
                      <pic:blipFill>
                        <a:blip r:embed="rId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4161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24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156075" cy="12700"/>
                <wp:effectExtent l="0" t="0" r="0" b="0"/>
                <wp:docPr id="60" name="IM 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IM 60"/>
                        <pic:cNvPicPr/>
                      </pic:nvPicPr>
                      <pic:blipFill>
                        <a:blip r:embed="rId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5620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5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24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70175" cy="12700"/>
                <wp:effectExtent l="0" t="0" r="0" b="0"/>
                <wp:docPr id="62" name="IM 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IM 62"/>
                        <pic:cNvPicPr/>
                      </pic:nvPicPr>
                      <pic:blipFill>
                        <a:blip r:embed="rId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37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24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7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165600" cy="12700"/>
                <wp:effectExtent l="0" t="0" r="0" b="0"/>
                <wp:docPr id="64" name="IM 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IM 64"/>
                        <pic:cNvPicPr/>
                      </pic:nvPicPr>
                      <pic:blipFill>
                        <a:blip r:embed="rId9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571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5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t>24</w:t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b/>
              <w:bCs/>
              <w:spacing w:val="-8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9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8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4156075" cy="12700"/>
                <wp:effectExtent l="0" t="0" r="0" b="0"/>
                <wp:docPr id="66" name="IM 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IM 66"/>
                        <pic:cNvPicPr/>
                      </pic:nvPicPr>
                      <pic:blipFill>
                        <a:blip r:embed="rId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5620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5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8"/>
              <w:sz w:val="26"/>
              <w:szCs w:val="26"/>
            </w:rPr>
            <w:t>41</w:t>
          </w:r>
          <w:r>
            <w:rPr>
              <w:rFonts w:ascii="仿宋" w:hAnsi="仿宋" w:eastAsia="仿宋" w:cs="仿宋"/>
              <w:b/>
              <w:bCs/>
              <w:spacing w:val="-8"/>
              <w:sz w:val="26"/>
              <w:szCs w:val="26"/>
            </w:rPr>
            <w:fldChar w:fldCharType="end"/>
          </w:r>
        </w:p>
      </w:sdtContent>
    </w:sdt>
    <w:p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5" w:type="default"/>
          <w:pgSz w:w="11900" w:h="16840"/>
          <w:pgMar w:top="400" w:right="86" w:bottom="0" w:left="0" w:header="0" w:footer="0" w:gutter="0"/>
          <w:cols w:space="720" w:num="1"/>
        </w:sectPr>
      </w:pPr>
    </w:p>
    <w:p>
      <w:pPr>
        <w:pStyle w:val="2"/>
        <w:spacing w:line="291" w:lineRule="auto"/>
      </w:pPr>
    </w:p>
    <w:p>
      <w:pPr>
        <w:spacing w:before="81" w:line="222" w:lineRule="auto"/>
        <w:ind w:left="5129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第一部分 概况</w:t>
      </w:r>
    </w:p>
    <w:p>
      <w:pPr>
        <w:spacing w:before="203" w:line="222" w:lineRule="auto"/>
        <w:ind w:left="13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一、本单位职责</w:t>
      </w:r>
    </w:p>
    <w:p>
      <w:pPr>
        <w:spacing w:before="274" w:line="224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承担全市无偿献血和采供血任务；为全市医疗机构提供临床用血和急救用血服务。</w:t>
      </w:r>
    </w:p>
    <w:p>
      <w:pPr>
        <w:spacing w:before="273" w:line="223" w:lineRule="auto"/>
        <w:ind w:left="13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二、机构设置情况</w:t>
      </w:r>
    </w:p>
    <w:p>
      <w:pPr>
        <w:spacing w:before="130" w:line="222" w:lineRule="auto"/>
        <w:ind w:left="13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我单位设有以下科室：</w:t>
      </w:r>
    </w:p>
    <w:p>
      <w:pPr>
        <w:spacing w:before="130" w:line="222" w:lineRule="auto"/>
        <w:ind w:left="13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办公室、宣传科、成份室、检验科、质控科、财务室、供血室、体采科、机采室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53" w:line="184" w:lineRule="auto"/>
        <w:ind w:left="5963"/>
        <w:rPr>
          <w:rFonts w:ascii="宋体" w:hAnsi="宋体" w:eastAsia="宋体" w:cs="宋体"/>
          <w:sz w:val="16"/>
          <w:szCs w:val="16"/>
        </w:rPr>
      </w:pPr>
      <w:r>
        <w:pict>
          <v:shape id="_x0000_s1027" o:spid="_x0000_s1027" o:spt="202" type="#_x0000_t202" style="position:absolute;left:0pt;margin-left:293.3pt;margin-top:4.15pt;height:7.45pt;width:11.9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-20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16"/>
          <w:szCs w:val="16"/>
        </w:rPr>
        <w:t>1</w:t>
      </w:r>
    </w:p>
    <w:p>
      <w:pPr>
        <w:spacing w:line="184" w:lineRule="auto"/>
        <w:rPr>
          <w:rFonts w:ascii="宋体" w:hAnsi="宋体" w:eastAsia="宋体" w:cs="宋体"/>
          <w:sz w:val="16"/>
          <w:szCs w:val="16"/>
        </w:rPr>
        <w:sectPr>
          <w:headerReference r:id="rId6" w:type="default"/>
          <w:footerReference r:id="rId7" w:type="default"/>
          <w:pgSz w:w="11900" w:h="16840"/>
          <w:pgMar w:top="610" w:right="86" w:bottom="1" w:left="0" w:header="359" w:footer="0" w:gutter="0"/>
          <w:cols w:space="720" w:num="1"/>
        </w:sectPr>
      </w:pPr>
    </w:p>
    <w:p>
      <w:pPr>
        <w:pStyle w:val="2"/>
        <w:spacing w:line="469" w:lineRule="auto"/>
      </w:pPr>
    </w:p>
    <w:p>
      <w:pPr>
        <w:spacing w:before="81" w:line="223" w:lineRule="auto"/>
        <w:ind w:left="4246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第二部分 2023年单位预算报表</w:t>
      </w:r>
    </w:p>
    <w:p>
      <w:pPr>
        <w:spacing w:before="189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>
        <w:tblPrEx>
          <w:tblLayout w:type="fixed"/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2023年预算收支总表</w:t>
            </w: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8111" w:type="dxa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7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90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7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411" w:type="dxa"/>
            <w:gridSpan w:val="2"/>
            <w:vAlign w:val="top"/>
          </w:tcPr>
          <w:p>
            <w:pPr>
              <w:spacing w:before="107" w:line="219" w:lineRule="auto"/>
              <w:ind w:left="15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05" w:type="dxa"/>
            <w:gridSpan w:val="4"/>
            <w:vAlign w:val="top"/>
          </w:tcPr>
          <w:p>
            <w:pPr>
              <w:spacing w:before="106" w:line="220" w:lineRule="auto"/>
              <w:ind w:left="2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spacing w:before="108" w:line="220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spacing w:before="108"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</w:t>
            </w:r>
          </w:p>
        </w:tc>
        <w:tc>
          <w:tcPr>
            <w:tcW w:w="2326" w:type="dxa"/>
            <w:vAlign w:val="top"/>
          </w:tcPr>
          <w:p>
            <w:pPr>
              <w:spacing w:before="108" w:line="220" w:lineRule="auto"/>
              <w:ind w:left="9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spacing w:before="108" w:line="219" w:lineRule="auto"/>
              <w:ind w:left="1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2023年合计</w:t>
            </w:r>
          </w:p>
        </w:tc>
        <w:tc>
          <w:tcPr>
            <w:tcW w:w="1175" w:type="dxa"/>
            <w:vAlign w:val="top"/>
          </w:tcPr>
          <w:p>
            <w:pPr>
              <w:spacing w:before="1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spacing w:line="211" w:lineRule="auto"/>
              <w:ind w:left="273" w:right="92" w:hanging="1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spacing w:before="135" w:line="184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2326" w:type="dxa"/>
            <w:vAlign w:val="top"/>
          </w:tcPr>
          <w:p>
            <w:pPr>
              <w:spacing w:before="10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spacing w:before="10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09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spacing w:before="110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4" w:line="209" w:lineRule="auto"/>
              <w:ind w:left="22" w:right="156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40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345.17</w:t>
            </w:r>
          </w:p>
        </w:tc>
        <w:tc>
          <w:tcPr>
            <w:tcW w:w="1175" w:type="dxa"/>
            <w:vAlign w:val="top"/>
          </w:tcPr>
          <w:p>
            <w:pPr>
              <w:spacing w:before="140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345.17</w:t>
            </w: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6" w:line="208" w:lineRule="auto"/>
              <w:ind w:left="7" w:right="15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6" w:line="208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</w:tbl>
    <w:p>
      <w:pPr>
        <w:pStyle w:val="2"/>
      </w:pPr>
    </w:p>
    <w:p>
      <w:pPr>
        <w:sectPr>
          <w:headerReference r:id="rId8" w:type="default"/>
          <w:footerReference r:id="rId9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>
        <w:tblPrEx>
          <w:tblLayout w:type="fixed"/>
        </w:tblPrEx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" w:line="210" w:lineRule="auto"/>
              <w:ind w:left="6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pStyle w:val="6"/>
            </w:pP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0" w:hRule="atLeast"/>
        </w:trPr>
        <w:tc>
          <w:tcPr>
            <w:tcW w:w="2236" w:type="dxa"/>
            <w:vAlign w:val="top"/>
          </w:tcPr>
          <w:p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spacing w:before="138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2326" w:type="dxa"/>
            <w:vAlign w:val="top"/>
          </w:tcPr>
          <w:p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spacing w:before="138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175" w:type="dxa"/>
            <w:vAlign w:val="top"/>
          </w:tcPr>
          <w:p>
            <w:pPr>
              <w:spacing w:before="138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236" w:type="dxa"/>
            <w:vAlign w:val="top"/>
          </w:tcPr>
          <w:p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2326" w:type="dxa"/>
            <w:vAlign w:val="top"/>
          </w:tcPr>
          <w:p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6" w:hRule="atLeast"/>
        </w:trPr>
        <w:tc>
          <w:tcPr>
            <w:tcW w:w="2236" w:type="dxa"/>
            <w:vAlign w:val="top"/>
          </w:tcPr>
          <w:p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spacing w:before="141" w:line="184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2326" w:type="dxa"/>
            <w:vAlign w:val="top"/>
          </w:tcPr>
          <w:p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spacing w:before="141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175" w:type="dxa"/>
            <w:vAlign w:val="top"/>
          </w:tcPr>
          <w:p>
            <w:pPr>
              <w:spacing w:before="141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905" w:type="dxa"/>
            <w:vAlign w:val="top"/>
          </w:tcPr>
          <w:p>
            <w:pPr>
              <w:pStyle w:val="6"/>
            </w:pPr>
          </w:p>
        </w:tc>
      </w:tr>
    </w:tbl>
    <w:p>
      <w:pPr>
        <w:pStyle w:val="2"/>
      </w:pPr>
    </w:p>
    <w:p>
      <w:pPr>
        <w:sectPr>
          <w:headerReference r:id="rId10" w:type="default"/>
          <w:footerReference r:id="rId11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blPrEx>
          <w:tblLayout w:type="fixed"/>
        </w:tblPrEx>
        <w:trPr>
          <w:trHeight w:val="355" w:hRule="atLeast"/>
        </w:trPr>
        <w:tc>
          <w:tcPr>
            <w:tcW w:w="16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33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6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5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55" w:line="218" w:lineRule="auto"/>
              <w:ind w:left="59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2023年预算收入总表</w:t>
            </w: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4948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2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160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2" w:line="228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4948" w:type="dxa"/>
            <w:gridSpan w:val="2"/>
            <w:vAlign w:val="top"/>
          </w:tcPr>
          <w:p>
            <w:pPr>
              <w:spacing w:before="73" w:line="220" w:lineRule="auto"/>
              <w:ind w:left="2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84" w:type="dxa"/>
            <w:gridSpan w:val="6"/>
            <w:vAlign w:val="top"/>
          </w:tcPr>
          <w:p>
            <w:pPr>
              <w:spacing w:before="72" w:line="219" w:lineRule="auto"/>
              <w:ind w:left="3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>
            <w:pPr>
              <w:spacing w:before="277" w:line="219" w:lineRule="auto"/>
              <w:ind w:left="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>
        <w:tblPrEx>
          <w:tblLayout w:type="fixed"/>
        </w:tblPrEx>
        <w:trPr>
          <w:trHeight w:val="409" w:hRule="atLeast"/>
        </w:trPr>
        <w:tc>
          <w:tcPr>
            <w:tcW w:w="1637" w:type="dxa"/>
            <w:vAlign w:val="top"/>
          </w:tcPr>
          <w:p>
            <w:pPr>
              <w:spacing w:before="97" w:line="219" w:lineRule="auto"/>
              <w:ind w:left="4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spacing w:before="97" w:line="219" w:lineRule="auto"/>
              <w:ind w:left="1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spacing w:before="98" w:line="221" w:lineRule="auto"/>
              <w:ind w:left="6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spacing w:before="98" w:line="219" w:lineRule="auto"/>
              <w:ind w:left="1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spacing w:before="97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spacing w:before="3" w:line="203" w:lineRule="auto"/>
              <w:ind w:left="587" w:right="47" w:hanging="5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spacing w:before="3" w:line="203" w:lineRule="auto"/>
              <w:ind w:left="582" w:right="40" w:hanging="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spacing w:before="98" w:line="220" w:lineRule="auto"/>
              <w:ind w:left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4948" w:type="dxa"/>
            <w:gridSpan w:val="2"/>
            <w:vAlign w:val="top"/>
          </w:tcPr>
          <w:p>
            <w:pPr>
              <w:spacing w:before="75" w:line="221" w:lineRule="auto"/>
              <w:ind w:left="22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spacing w:before="103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392" w:type="dxa"/>
            <w:vAlign w:val="top"/>
          </w:tcPr>
          <w:p>
            <w:pPr>
              <w:spacing w:before="103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1637" w:type="dxa"/>
            <w:vAlign w:val="top"/>
          </w:tcPr>
          <w:p>
            <w:pPr>
              <w:spacing w:before="104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104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392" w:type="dxa"/>
            <w:vAlign w:val="top"/>
          </w:tcPr>
          <w:p>
            <w:pPr>
              <w:spacing w:before="104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1637" w:type="dxa"/>
            <w:vAlign w:val="top"/>
          </w:tcPr>
          <w:p>
            <w:pPr>
              <w:spacing w:before="105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311" w:type="dxa"/>
            <w:vAlign w:val="top"/>
          </w:tcPr>
          <w:p>
            <w:pPr>
              <w:spacing w:before="78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608" w:type="dxa"/>
            <w:vAlign w:val="top"/>
          </w:tcPr>
          <w:p>
            <w:pPr>
              <w:spacing w:before="105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392" w:type="dxa"/>
            <w:vAlign w:val="top"/>
          </w:tcPr>
          <w:p>
            <w:pPr>
              <w:spacing w:before="105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55" w:hRule="atLeast"/>
        </w:trPr>
        <w:tc>
          <w:tcPr>
            <w:tcW w:w="1637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2100406</w:t>
            </w:r>
          </w:p>
        </w:tc>
        <w:tc>
          <w:tcPr>
            <w:tcW w:w="3311" w:type="dxa"/>
            <w:vAlign w:val="top"/>
          </w:tcPr>
          <w:p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采供血机构</w:t>
            </w:r>
          </w:p>
        </w:tc>
        <w:tc>
          <w:tcPr>
            <w:tcW w:w="1608" w:type="dxa"/>
            <w:vAlign w:val="top"/>
          </w:tcPr>
          <w:p>
            <w:pPr>
              <w:spacing w:before="106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392" w:type="dxa"/>
            <w:vAlign w:val="top"/>
          </w:tcPr>
          <w:p>
            <w:pPr>
              <w:spacing w:before="106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104" w:type="dxa"/>
            <w:vAlign w:val="top"/>
          </w:tcPr>
          <w:p>
            <w:pPr>
              <w:pStyle w:val="6"/>
            </w:pPr>
          </w:p>
        </w:tc>
        <w:tc>
          <w:tcPr>
            <w:tcW w:w="1356" w:type="dxa"/>
            <w:vAlign w:val="top"/>
          </w:tcPr>
          <w:p>
            <w:pPr>
              <w:pStyle w:val="6"/>
            </w:pPr>
          </w:p>
        </w:tc>
        <w:tc>
          <w:tcPr>
            <w:tcW w:w="1344" w:type="dxa"/>
            <w:vAlign w:val="top"/>
          </w:tcPr>
          <w:p>
            <w:pPr>
              <w:pStyle w:val="6"/>
            </w:pPr>
          </w:p>
        </w:tc>
        <w:tc>
          <w:tcPr>
            <w:tcW w:w="1080" w:type="dxa"/>
            <w:vAlign w:val="top"/>
          </w:tcPr>
          <w:p>
            <w:pPr>
              <w:pStyle w:val="6"/>
            </w:pPr>
          </w:p>
        </w:tc>
        <w:tc>
          <w:tcPr>
            <w:tcW w:w="1134" w:type="dxa"/>
            <w:vAlign w:val="top"/>
          </w:tcPr>
          <w:p>
            <w:pPr>
              <w:pStyle w:val="6"/>
            </w:pPr>
          </w:p>
        </w:tc>
      </w:tr>
    </w:tbl>
    <w:p>
      <w:pPr>
        <w:pStyle w:val="2"/>
      </w:pPr>
    </w:p>
    <w:p>
      <w:pPr>
        <w:sectPr>
          <w:headerReference r:id="rId12" w:type="default"/>
          <w:footerReference r:id="rId13" w:type="default"/>
          <w:pgSz w:w="16840" w:h="11900"/>
          <w:pgMar w:top="610" w:right="86" w:bottom="312" w:left="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6"/>
        <w:gridCol w:w="3057"/>
        <w:gridCol w:w="1439"/>
        <w:gridCol w:w="1391"/>
        <w:gridCol w:w="1313"/>
      </w:tblGrid>
      <w:tr>
        <w:tblPrEx>
          <w:tblLayout w:type="fixed"/>
        </w:tblPrEx>
        <w:trPr>
          <w:trHeight w:val="354" w:hRule="atLeast"/>
        </w:trPr>
        <w:tc>
          <w:tcPr>
            <w:tcW w:w="181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305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55" w:line="218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2023年预算支出总表</w:t>
            </w: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6312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3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3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4873" w:type="dxa"/>
            <w:gridSpan w:val="2"/>
            <w:vAlign w:val="top"/>
          </w:tcPr>
          <w:p>
            <w:pPr>
              <w:spacing w:before="73" w:line="220" w:lineRule="auto"/>
              <w:ind w:left="2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43" w:type="dxa"/>
            <w:gridSpan w:val="3"/>
            <w:vAlign w:val="top"/>
          </w:tcPr>
          <w:p>
            <w:pPr>
              <w:spacing w:before="74" w:line="219" w:lineRule="auto"/>
              <w:ind w:left="15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2023年预算数</w:t>
            </w: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1816" w:type="dxa"/>
            <w:vAlign w:val="top"/>
          </w:tcPr>
          <w:p>
            <w:pPr>
              <w:spacing w:before="74" w:line="219" w:lineRule="auto"/>
              <w:ind w:left="5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spacing w:before="74" w:line="219" w:lineRule="auto"/>
              <w:ind w:left="11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spacing w:before="74" w:line="221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spacing w:before="74" w:line="219" w:lineRule="auto"/>
              <w:ind w:left="3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spacing w:before="74" w:line="220" w:lineRule="auto"/>
              <w:ind w:left="2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4873" w:type="dxa"/>
            <w:gridSpan w:val="2"/>
            <w:vAlign w:val="top"/>
          </w:tcPr>
          <w:p>
            <w:pPr>
              <w:spacing w:before="75" w:line="221" w:lineRule="auto"/>
              <w:ind w:left="2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spacing w:before="103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391" w:type="dxa"/>
            <w:vAlign w:val="top"/>
          </w:tcPr>
          <w:p>
            <w:pPr>
              <w:spacing w:before="104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280.27</w:t>
            </w:r>
          </w:p>
        </w:tc>
        <w:tc>
          <w:tcPr>
            <w:tcW w:w="1313" w:type="dxa"/>
            <w:vAlign w:val="top"/>
          </w:tcPr>
          <w:p>
            <w:pPr>
              <w:spacing w:before="104" w:line="183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64.90</w:t>
            </w: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1816" w:type="dxa"/>
            <w:vAlign w:val="top"/>
          </w:tcPr>
          <w:p>
            <w:pPr>
              <w:spacing w:before="104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104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345.17</w:t>
            </w:r>
          </w:p>
        </w:tc>
        <w:tc>
          <w:tcPr>
            <w:tcW w:w="1391" w:type="dxa"/>
            <w:vAlign w:val="top"/>
          </w:tcPr>
          <w:p>
            <w:pPr>
              <w:spacing w:before="105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280.27</w:t>
            </w:r>
          </w:p>
        </w:tc>
        <w:tc>
          <w:tcPr>
            <w:tcW w:w="1313" w:type="dxa"/>
            <w:vAlign w:val="top"/>
          </w:tcPr>
          <w:p>
            <w:pPr>
              <w:spacing w:before="105" w:line="183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64.90</w:t>
            </w:r>
          </w:p>
        </w:tc>
      </w:tr>
      <w:tr>
        <w:tblPrEx>
          <w:tblLayout w:type="fixed"/>
        </w:tblPrEx>
        <w:trPr>
          <w:trHeight w:val="349" w:hRule="atLeast"/>
        </w:trPr>
        <w:tc>
          <w:tcPr>
            <w:tcW w:w="1816" w:type="dxa"/>
            <w:vAlign w:val="top"/>
          </w:tcPr>
          <w:p>
            <w:pPr>
              <w:spacing w:before="105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439" w:type="dxa"/>
            <w:vAlign w:val="top"/>
          </w:tcPr>
          <w:p>
            <w:pPr>
              <w:spacing w:before="105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345.17</w:t>
            </w:r>
          </w:p>
        </w:tc>
        <w:tc>
          <w:tcPr>
            <w:tcW w:w="1391" w:type="dxa"/>
            <w:vAlign w:val="top"/>
          </w:tcPr>
          <w:p>
            <w:pPr>
              <w:spacing w:before="106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280.27</w:t>
            </w:r>
          </w:p>
        </w:tc>
        <w:tc>
          <w:tcPr>
            <w:tcW w:w="1313" w:type="dxa"/>
            <w:vAlign w:val="top"/>
          </w:tcPr>
          <w:p>
            <w:pPr>
              <w:spacing w:before="106" w:line="183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64.90</w:t>
            </w:r>
          </w:p>
        </w:tc>
      </w:tr>
      <w:tr>
        <w:tblPrEx>
          <w:tblLayout w:type="fixed"/>
        </w:tblPrEx>
        <w:trPr>
          <w:trHeight w:val="355" w:hRule="atLeast"/>
        </w:trPr>
        <w:tc>
          <w:tcPr>
            <w:tcW w:w="1816" w:type="dxa"/>
            <w:vAlign w:val="top"/>
          </w:tcPr>
          <w:p>
            <w:pPr>
              <w:spacing w:before="106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2100406</w:t>
            </w:r>
          </w:p>
        </w:tc>
        <w:tc>
          <w:tcPr>
            <w:tcW w:w="3057" w:type="dxa"/>
            <w:vAlign w:val="top"/>
          </w:tcPr>
          <w:p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采供血机构</w:t>
            </w:r>
          </w:p>
        </w:tc>
        <w:tc>
          <w:tcPr>
            <w:tcW w:w="1439" w:type="dxa"/>
            <w:vAlign w:val="top"/>
          </w:tcPr>
          <w:p>
            <w:pPr>
              <w:spacing w:before="106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345.17</w:t>
            </w:r>
          </w:p>
        </w:tc>
        <w:tc>
          <w:tcPr>
            <w:tcW w:w="1391" w:type="dxa"/>
            <w:vAlign w:val="top"/>
          </w:tcPr>
          <w:p>
            <w:pPr>
              <w:spacing w:before="107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280.27</w:t>
            </w:r>
          </w:p>
        </w:tc>
        <w:tc>
          <w:tcPr>
            <w:tcW w:w="1313" w:type="dxa"/>
            <w:vAlign w:val="top"/>
          </w:tcPr>
          <w:p>
            <w:pPr>
              <w:spacing w:before="107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64.90</w:t>
            </w:r>
          </w:p>
        </w:tc>
      </w:tr>
    </w:tbl>
    <w:p>
      <w:pPr>
        <w:pStyle w:val="2"/>
      </w:pPr>
    </w:p>
    <w:p>
      <w:pPr>
        <w:sectPr>
          <w:headerReference r:id="rId14" w:type="default"/>
          <w:footerReference r:id="rId15" w:type="default"/>
          <w:pgSz w:w="11900" w:h="16840"/>
          <w:pgMar w:top="610" w:right="86" w:bottom="311" w:left="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blPrEx>
          <w:tblLayout w:type="fixed"/>
        </w:tblPrEx>
        <w:trPr>
          <w:trHeight w:val="427" w:hRule="atLeast"/>
        </w:trPr>
        <w:tc>
          <w:tcPr>
            <w:tcW w:w="18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9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31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2023年财政拨款收支总表</w:t>
            </w: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7907" w:type="dxa"/>
            <w:gridSpan w:val="6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920" w:type="dxa"/>
            <w:gridSpan w:val="2"/>
            <w:vAlign w:val="top"/>
          </w:tcPr>
          <w:p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59" w:line="220" w:lineRule="auto"/>
              <w:ind w:left="7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8" w:line="219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3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59" w:line="220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66" w:type="dxa"/>
            <w:gridSpan w:val="4"/>
            <w:vAlign w:val="top"/>
          </w:tcPr>
          <w:p>
            <w:pPr>
              <w:spacing w:before="109" w:line="219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93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spacing w:before="108" w:line="221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spacing w:before="109" w:line="219" w:lineRule="auto"/>
              <w:ind w:left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spacing w:before="1" w:line="20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>
            <w:pPr>
              <w:spacing w:line="212" w:lineRule="auto"/>
              <w:ind w:left="1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spacing w:line="211" w:lineRule="auto"/>
              <w:ind w:left="372" w:right="14" w:hanging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spacing w:before="136" w:line="184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930" w:type="dxa"/>
            <w:vAlign w:val="top"/>
          </w:tcPr>
          <w:p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0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1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20" w:right="1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39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115" w:type="dxa"/>
            <w:vAlign w:val="top"/>
          </w:tcPr>
          <w:p>
            <w:pPr>
              <w:spacing w:before="139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345.17</w:t>
            </w: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13" w:right="12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4" w:line="209" w:lineRule="auto"/>
              <w:ind w:left="11" w:right="12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6" w:line="208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6" w:line="208" w:lineRule="auto"/>
              <w:ind w:left="7" w:right="1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6" w:line="208" w:lineRule="auto"/>
              <w:ind w:left="10" w:right="12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</w:tbl>
    <w:p>
      <w:pPr>
        <w:pStyle w:val="2"/>
      </w:pPr>
    </w:p>
    <w:p>
      <w:pPr>
        <w:sectPr>
          <w:headerReference r:id="rId16" w:type="default"/>
          <w:footerReference r:id="rId17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blPrEx>
          <w:tblLayout w:type="fixed"/>
        </w:tblPrEx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3" w:line="212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" w:line="210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08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spacing w:before="136" w:line="184" w:lineRule="auto"/>
              <w:ind w:left="2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930" w:type="dxa"/>
            <w:vAlign w:val="top"/>
          </w:tcPr>
          <w:p>
            <w:pPr>
              <w:spacing w:before="10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spacing w:before="136" w:line="184" w:lineRule="auto"/>
              <w:ind w:left="2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115" w:type="dxa"/>
            <w:vAlign w:val="top"/>
          </w:tcPr>
          <w:p>
            <w:pPr>
              <w:spacing w:before="136" w:line="184" w:lineRule="auto"/>
              <w:ind w:left="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841" w:type="dxa"/>
            <w:vAlign w:val="top"/>
          </w:tcPr>
          <w:p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930" w:type="dxa"/>
            <w:vAlign w:val="top"/>
          </w:tcPr>
          <w:p>
            <w:pPr>
              <w:pStyle w:val="6"/>
            </w:pPr>
          </w:p>
        </w:tc>
        <w:tc>
          <w:tcPr>
            <w:tcW w:w="1079" w:type="dxa"/>
            <w:vAlign w:val="top"/>
          </w:tcPr>
          <w:p>
            <w:pPr>
              <w:pStyle w:val="6"/>
            </w:pPr>
          </w:p>
        </w:tc>
        <w:tc>
          <w:tcPr>
            <w:tcW w:w="1115" w:type="dxa"/>
            <w:vAlign w:val="top"/>
          </w:tcPr>
          <w:p>
            <w:pPr>
              <w:pStyle w:val="6"/>
            </w:pP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7" w:hRule="atLeast"/>
        </w:trPr>
        <w:tc>
          <w:tcPr>
            <w:tcW w:w="1841" w:type="dxa"/>
            <w:vAlign w:val="top"/>
          </w:tcPr>
          <w:p>
            <w:pPr>
              <w:spacing w:before="114" w:line="219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spacing w:before="142" w:line="184" w:lineRule="auto"/>
              <w:ind w:left="2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930" w:type="dxa"/>
            <w:vAlign w:val="top"/>
          </w:tcPr>
          <w:p>
            <w:pPr>
              <w:spacing w:before="114" w:line="220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spacing w:before="142" w:line="184" w:lineRule="auto"/>
              <w:ind w:left="2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115" w:type="dxa"/>
            <w:vAlign w:val="top"/>
          </w:tcPr>
          <w:p>
            <w:pPr>
              <w:spacing w:before="142" w:line="184" w:lineRule="auto"/>
              <w:ind w:left="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863" w:type="dxa"/>
            <w:vAlign w:val="top"/>
          </w:tcPr>
          <w:p>
            <w:pPr>
              <w:pStyle w:val="6"/>
            </w:pPr>
          </w:p>
        </w:tc>
        <w:tc>
          <w:tcPr>
            <w:tcW w:w="1109" w:type="dxa"/>
            <w:vAlign w:val="top"/>
          </w:tcPr>
          <w:p>
            <w:pPr>
              <w:pStyle w:val="6"/>
            </w:pPr>
          </w:p>
        </w:tc>
      </w:tr>
    </w:tbl>
    <w:p>
      <w:pPr>
        <w:pStyle w:val="2"/>
      </w:pPr>
    </w:p>
    <w:p>
      <w:pPr>
        <w:sectPr>
          <w:headerReference r:id="rId18" w:type="default"/>
          <w:footerReference r:id="rId19" w:type="default"/>
          <w:pgSz w:w="11900" w:h="16840"/>
          <w:pgMar w:top="610" w:right="86" w:bottom="311" w:left="0" w:header="359" w:footer="153" w:gutter="0"/>
          <w:cols w:space="720" w:num="1"/>
        </w:sectPr>
      </w:pPr>
    </w:p>
    <w:p>
      <w:pPr>
        <w:spacing w:before="6"/>
      </w:pPr>
      <w:r>
        <w:pict>
          <v:shape id="_x0000_s1028" o:spid="_x0000_s1028" o:spt="202" type="#_x0000_t202" style="position:absolute;left:0pt;margin-left:293.3pt;margin-top:827.85pt;height:7.45pt;width:11.95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-20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2"/>
        <w:gridCol w:w="3021"/>
        <w:gridCol w:w="1535"/>
        <w:gridCol w:w="1415"/>
        <w:gridCol w:w="1373"/>
      </w:tblGrid>
      <w:tr>
        <w:tblPrEx>
          <w:tblLayout w:type="fixed"/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18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2023年一般公共预算支出预算表（不含上年结转）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7643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137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4693" w:type="dxa"/>
            <w:gridSpan w:val="2"/>
            <w:vAlign w:val="top"/>
          </w:tcPr>
          <w:p>
            <w:pPr>
              <w:spacing w:before="108" w:line="220" w:lineRule="auto"/>
              <w:ind w:left="2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23" w:type="dxa"/>
            <w:gridSpan w:val="3"/>
            <w:vAlign w:val="top"/>
          </w:tcPr>
          <w:p>
            <w:pPr>
              <w:spacing w:before="109" w:line="219" w:lineRule="auto"/>
              <w:ind w:left="16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2023年预算数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672" w:type="dxa"/>
            <w:vAlign w:val="top"/>
          </w:tcPr>
          <w:p>
            <w:pPr>
              <w:spacing w:before="109" w:line="219" w:lineRule="auto"/>
              <w:ind w:left="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spacing w:before="109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spacing w:before="109" w:line="221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spacing w:before="109" w:line="219" w:lineRule="auto"/>
              <w:ind w:left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spacing w:before="110" w:line="220" w:lineRule="auto"/>
              <w:ind w:left="3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4693" w:type="dxa"/>
            <w:gridSpan w:val="2"/>
            <w:vAlign w:val="top"/>
          </w:tcPr>
          <w:p>
            <w:pPr>
              <w:spacing w:before="110" w:line="221" w:lineRule="auto"/>
              <w:ind w:left="21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38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345.17</w:t>
            </w:r>
          </w:p>
        </w:tc>
        <w:tc>
          <w:tcPr>
            <w:tcW w:w="1415" w:type="dxa"/>
            <w:vAlign w:val="top"/>
          </w:tcPr>
          <w:p>
            <w:pPr>
              <w:spacing w:before="139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280.27</w:t>
            </w:r>
          </w:p>
        </w:tc>
        <w:tc>
          <w:tcPr>
            <w:tcW w:w="1373" w:type="dxa"/>
            <w:vAlign w:val="top"/>
          </w:tcPr>
          <w:p>
            <w:pPr>
              <w:spacing w:before="139" w:line="183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64.90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672" w:type="dxa"/>
            <w:vAlign w:val="top"/>
          </w:tcPr>
          <w:p>
            <w:pPr>
              <w:spacing w:before="139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139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345.17</w:t>
            </w:r>
          </w:p>
        </w:tc>
        <w:tc>
          <w:tcPr>
            <w:tcW w:w="1415" w:type="dxa"/>
            <w:vAlign w:val="top"/>
          </w:tcPr>
          <w:p>
            <w:pPr>
              <w:spacing w:before="140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280.27</w:t>
            </w:r>
          </w:p>
        </w:tc>
        <w:tc>
          <w:tcPr>
            <w:tcW w:w="1373" w:type="dxa"/>
            <w:vAlign w:val="top"/>
          </w:tcPr>
          <w:p>
            <w:pPr>
              <w:spacing w:before="140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64.90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672" w:type="dxa"/>
            <w:vAlign w:val="top"/>
          </w:tcPr>
          <w:p>
            <w:pPr>
              <w:spacing w:before="140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spacing w:before="113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spacing w:before="140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345.17</w:t>
            </w:r>
          </w:p>
        </w:tc>
        <w:tc>
          <w:tcPr>
            <w:tcW w:w="1415" w:type="dxa"/>
            <w:vAlign w:val="top"/>
          </w:tcPr>
          <w:p>
            <w:pPr>
              <w:spacing w:before="141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280.27</w:t>
            </w:r>
          </w:p>
        </w:tc>
        <w:tc>
          <w:tcPr>
            <w:tcW w:w="1373" w:type="dxa"/>
            <w:vAlign w:val="top"/>
          </w:tcPr>
          <w:p>
            <w:pPr>
              <w:spacing w:before="141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64.90</w:t>
            </w:r>
          </w:p>
        </w:tc>
      </w:tr>
      <w:tr>
        <w:tblPrEx>
          <w:tblLayout w:type="fixed"/>
        </w:tblPrEx>
        <w:trPr>
          <w:trHeight w:val="427" w:hRule="atLeast"/>
        </w:trPr>
        <w:tc>
          <w:tcPr>
            <w:tcW w:w="1672" w:type="dxa"/>
            <w:vAlign w:val="top"/>
          </w:tcPr>
          <w:p>
            <w:pPr>
              <w:spacing w:before="142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2100406</w:t>
            </w:r>
          </w:p>
        </w:tc>
        <w:tc>
          <w:tcPr>
            <w:tcW w:w="3021" w:type="dxa"/>
            <w:vAlign w:val="top"/>
          </w:tcPr>
          <w:p>
            <w:pPr>
              <w:spacing w:before="11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采供血机构</w:t>
            </w:r>
          </w:p>
        </w:tc>
        <w:tc>
          <w:tcPr>
            <w:tcW w:w="1535" w:type="dxa"/>
            <w:vAlign w:val="top"/>
          </w:tcPr>
          <w:p>
            <w:pPr>
              <w:spacing w:before="141" w:line="184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345.17</w:t>
            </w:r>
          </w:p>
        </w:tc>
        <w:tc>
          <w:tcPr>
            <w:tcW w:w="1415" w:type="dxa"/>
            <w:vAlign w:val="top"/>
          </w:tcPr>
          <w:p>
            <w:pPr>
              <w:spacing w:before="142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280.27</w:t>
            </w:r>
          </w:p>
        </w:tc>
        <w:tc>
          <w:tcPr>
            <w:tcW w:w="1373" w:type="dxa"/>
            <w:vAlign w:val="top"/>
          </w:tcPr>
          <w:p>
            <w:pPr>
              <w:spacing w:before="142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64.90</w:t>
            </w:r>
          </w:p>
        </w:tc>
      </w:tr>
    </w:tbl>
    <w:p>
      <w:pPr>
        <w:pStyle w:val="2"/>
      </w:pPr>
    </w:p>
    <w:p>
      <w:pPr>
        <w:sectPr>
          <w:headerReference r:id="rId20" w:type="default"/>
          <w:footerReference r:id="rId21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>
        <w:tblPrEx>
          <w:tblLayout w:type="fixed"/>
        </w:tblPrEx>
        <w:trPr>
          <w:trHeight w:val="343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>
        <w:tblPrEx>
          <w:tblLayout w:type="fixed"/>
        </w:tblPrEx>
        <w:trPr>
          <w:trHeight w:val="337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43" w:line="218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2023年一般公共预算安排基本支出分经济科目表（不含上年结转）</w:t>
            </w: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6492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81" w:line="225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80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Layout w:type="fixed"/>
        </w:tblPrEx>
        <w:trPr>
          <w:trHeight w:val="337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>
            <w:pPr>
              <w:spacing w:before="240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58" w:type="dxa"/>
            <w:vMerge w:val="restart"/>
            <w:tcBorders>
              <w:bottom w:val="nil"/>
            </w:tcBorders>
            <w:vAlign w:val="top"/>
          </w:tcPr>
          <w:p>
            <w:pPr>
              <w:spacing w:before="132" w:line="215" w:lineRule="auto"/>
              <w:ind w:left="983" w:right="91" w:hanging="8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843" w:type="dxa"/>
            <w:gridSpan w:val="3"/>
            <w:vAlign w:val="top"/>
          </w:tcPr>
          <w:p>
            <w:pPr>
              <w:spacing w:before="6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2023年预算数</w:t>
            </w: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5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367" w:type="dxa"/>
            <w:vAlign w:val="top"/>
          </w:tcPr>
          <w:p>
            <w:pPr>
              <w:spacing w:before="61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spacing w:before="61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spacing w:before="61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5125" w:type="dxa"/>
            <w:gridSpan w:val="2"/>
            <w:vAlign w:val="top"/>
          </w:tcPr>
          <w:p>
            <w:pPr>
              <w:spacing w:before="77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spacing w:before="88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280.27</w:t>
            </w:r>
          </w:p>
        </w:tc>
        <w:tc>
          <w:tcPr>
            <w:tcW w:w="1307" w:type="dxa"/>
            <w:vAlign w:val="top"/>
          </w:tcPr>
          <w:p>
            <w:pPr>
              <w:spacing w:before="88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253.06</w:t>
            </w:r>
          </w:p>
        </w:tc>
        <w:tc>
          <w:tcPr>
            <w:tcW w:w="1169" w:type="dxa"/>
            <w:vAlign w:val="top"/>
          </w:tcPr>
          <w:p>
            <w:pPr>
              <w:spacing w:before="88" w:line="183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27.21</w:t>
            </w:r>
          </w:p>
        </w:tc>
      </w:tr>
      <w:tr>
        <w:tblPrEx>
          <w:tblLayout w:type="fixed"/>
        </w:tblPrEx>
        <w:trPr>
          <w:trHeight w:val="337" w:hRule="atLeast"/>
        </w:trPr>
        <w:tc>
          <w:tcPr>
            <w:tcW w:w="2967" w:type="dxa"/>
            <w:vAlign w:val="top"/>
          </w:tcPr>
          <w:p>
            <w:pPr>
              <w:spacing w:before="6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6"/>
            </w:pPr>
          </w:p>
        </w:tc>
        <w:tc>
          <w:tcPr>
            <w:tcW w:w="1367" w:type="dxa"/>
            <w:vAlign w:val="top"/>
          </w:tcPr>
          <w:p>
            <w:pPr>
              <w:spacing w:before="88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246.98</w:t>
            </w:r>
          </w:p>
        </w:tc>
        <w:tc>
          <w:tcPr>
            <w:tcW w:w="1307" w:type="dxa"/>
            <w:vAlign w:val="top"/>
          </w:tcPr>
          <w:p>
            <w:pPr>
              <w:spacing w:before="88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246.98</w:t>
            </w:r>
          </w:p>
        </w:tc>
        <w:tc>
          <w:tcPr>
            <w:tcW w:w="116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2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90" w:line="182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86.24</w:t>
            </w:r>
          </w:p>
        </w:tc>
        <w:tc>
          <w:tcPr>
            <w:tcW w:w="1307" w:type="dxa"/>
            <w:vAlign w:val="top"/>
          </w:tcPr>
          <w:p>
            <w:pPr>
              <w:spacing w:before="90" w:line="182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86.24</w:t>
            </w:r>
          </w:p>
        </w:tc>
        <w:tc>
          <w:tcPr>
            <w:tcW w:w="116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37" w:hRule="atLeast"/>
        </w:trPr>
        <w:tc>
          <w:tcPr>
            <w:tcW w:w="2967" w:type="dxa"/>
            <w:vAlign w:val="top"/>
          </w:tcPr>
          <w:p>
            <w:pPr>
              <w:spacing w:before="6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90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13.34</w:t>
            </w:r>
          </w:p>
        </w:tc>
        <w:tc>
          <w:tcPr>
            <w:tcW w:w="1307" w:type="dxa"/>
            <w:vAlign w:val="top"/>
          </w:tcPr>
          <w:p>
            <w:pPr>
              <w:spacing w:before="90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13.34</w:t>
            </w:r>
          </w:p>
        </w:tc>
        <w:tc>
          <w:tcPr>
            <w:tcW w:w="116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91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83.09</w:t>
            </w:r>
          </w:p>
        </w:tc>
        <w:tc>
          <w:tcPr>
            <w:tcW w:w="1307" w:type="dxa"/>
            <w:vAlign w:val="top"/>
          </w:tcPr>
          <w:p>
            <w:pPr>
              <w:spacing w:before="91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83.09</w:t>
            </w:r>
          </w:p>
        </w:tc>
        <w:tc>
          <w:tcPr>
            <w:tcW w:w="116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37" w:hRule="atLeast"/>
        </w:trPr>
        <w:tc>
          <w:tcPr>
            <w:tcW w:w="2967" w:type="dxa"/>
            <w:vAlign w:val="top"/>
          </w:tcPr>
          <w:p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91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27.34</w:t>
            </w:r>
          </w:p>
        </w:tc>
        <w:tc>
          <w:tcPr>
            <w:tcW w:w="1307" w:type="dxa"/>
            <w:vAlign w:val="top"/>
          </w:tcPr>
          <w:p>
            <w:pPr>
              <w:spacing w:before="91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27.34</w:t>
            </w:r>
          </w:p>
        </w:tc>
        <w:tc>
          <w:tcPr>
            <w:tcW w:w="116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93" w:line="182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11.11</w:t>
            </w:r>
          </w:p>
        </w:tc>
        <w:tc>
          <w:tcPr>
            <w:tcW w:w="1307" w:type="dxa"/>
            <w:vAlign w:val="top"/>
          </w:tcPr>
          <w:p>
            <w:pPr>
              <w:spacing w:before="93" w:line="182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11.11</w:t>
            </w:r>
          </w:p>
        </w:tc>
        <w:tc>
          <w:tcPr>
            <w:tcW w:w="116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93" w:line="182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1.54</w:t>
            </w:r>
          </w:p>
        </w:tc>
        <w:tc>
          <w:tcPr>
            <w:tcW w:w="1307" w:type="dxa"/>
            <w:vAlign w:val="top"/>
          </w:tcPr>
          <w:p>
            <w:pPr>
              <w:spacing w:before="93" w:line="182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1.54</w:t>
            </w:r>
          </w:p>
        </w:tc>
        <w:tc>
          <w:tcPr>
            <w:tcW w:w="116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92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24.32</w:t>
            </w:r>
          </w:p>
        </w:tc>
        <w:tc>
          <w:tcPr>
            <w:tcW w:w="1307" w:type="dxa"/>
            <w:vAlign w:val="top"/>
          </w:tcPr>
          <w:p>
            <w:pPr>
              <w:spacing w:before="92" w:line="183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24.32</w:t>
            </w:r>
          </w:p>
        </w:tc>
        <w:tc>
          <w:tcPr>
            <w:tcW w:w="116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6"/>
            </w:pPr>
          </w:p>
        </w:tc>
        <w:tc>
          <w:tcPr>
            <w:tcW w:w="1367" w:type="dxa"/>
            <w:vAlign w:val="top"/>
          </w:tcPr>
          <w:p>
            <w:pPr>
              <w:spacing w:before="92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27.21</w:t>
            </w:r>
          </w:p>
        </w:tc>
        <w:tc>
          <w:tcPr>
            <w:tcW w:w="1307" w:type="dxa"/>
            <w:vAlign w:val="top"/>
          </w:tcPr>
          <w:p>
            <w:pPr>
              <w:pStyle w:val="6"/>
            </w:pPr>
          </w:p>
        </w:tc>
        <w:tc>
          <w:tcPr>
            <w:tcW w:w="1169" w:type="dxa"/>
            <w:vAlign w:val="top"/>
          </w:tcPr>
          <w:p>
            <w:pPr>
              <w:spacing w:before="92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27.21</w:t>
            </w:r>
          </w:p>
        </w:tc>
      </w:tr>
      <w:tr>
        <w:tblPrEx>
          <w:tblLayout w:type="fixed"/>
        </w:tblPrEx>
        <w:trPr>
          <w:trHeight w:val="337" w:hRule="atLeast"/>
        </w:trPr>
        <w:tc>
          <w:tcPr>
            <w:tcW w:w="2967" w:type="dxa"/>
            <w:vAlign w:val="top"/>
          </w:tcPr>
          <w:p>
            <w:pPr>
              <w:spacing w:before="65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58" w:type="dxa"/>
            <w:vAlign w:val="top"/>
          </w:tcPr>
          <w:p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92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2.60</w:t>
            </w:r>
          </w:p>
        </w:tc>
        <w:tc>
          <w:tcPr>
            <w:tcW w:w="1307" w:type="dxa"/>
            <w:vAlign w:val="top"/>
          </w:tcPr>
          <w:p>
            <w:pPr>
              <w:pStyle w:val="6"/>
            </w:pPr>
          </w:p>
        </w:tc>
        <w:tc>
          <w:tcPr>
            <w:tcW w:w="1169" w:type="dxa"/>
            <w:vAlign w:val="top"/>
          </w:tcPr>
          <w:p>
            <w:pPr>
              <w:spacing w:before="92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2.60</w:t>
            </w: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水费</w:t>
            </w:r>
          </w:p>
        </w:tc>
        <w:tc>
          <w:tcPr>
            <w:tcW w:w="2158" w:type="dxa"/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93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07" w:type="dxa"/>
            <w:vAlign w:val="top"/>
          </w:tcPr>
          <w:p>
            <w:pPr>
              <w:pStyle w:val="6"/>
            </w:pPr>
          </w:p>
        </w:tc>
        <w:tc>
          <w:tcPr>
            <w:tcW w:w="1169" w:type="dxa"/>
            <w:vAlign w:val="top"/>
          </w:tcPr>
          <w:p>
            <w:pPr>
              <w:spacing w:before="93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7" w:line="21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5"/>
                <w:sz w:val="18"/>
                <w:szCs w:val="18"/>
              </w:rPr>
              <w:t>电费</w:t>
            </w:r>
          </w:p>
        </w:tc>
        <w:tc>
          <w:tcPr>
            <w:tcW w:w="2158" w:type="dxa"/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9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4.00</w:t>
            </w:r>
          </w:p>
        </w:tc>
        <w:tc>
          <w:tcPr>
            <w:tcW w:w="1307" w:type="dxa"/>
            <w:vAlign w:val="top"/>
          </w:tcPr>
          <w:p>
            <w:pPr>
              <w:pStyle w:val="6"/>
            </w:pPr>
          </w:p>
        </w:tc>
        <w:tc>
          <w:tcPr>
            <w:tcW w:w="1169" w:type="dxa"/>
            <w:vAlign w:val="top"/>
          </w:tcPr>
          <w:p>
            <w:pPr>
              <w:spacing w:before="94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差旅费</w:t>
            </w:r>
          </w:p>
        </w:tc>
        <w:tc>
          <w:tcPr>
            <w:tcW w:w="2158" w:type="dxa"/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9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307" w:type="dxa"/>
            <w:vAlign w:val="top"/>
          </w:tcPr>
          <w:p>
            <w:pPr>
              <w:pStyle w:val="6"/>
            </w:pPr>
          </w:p>
        </w:tc>
        <w:tc>
          <w:tcPr>
            <w:tcW w:w="1169" w:type="dxa"/>
            <w:vAlign w:val="top"/>
          </w:tcPr>
          <w:p>
            <w:pPr>
              <w:spacing w:before="94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委托业务费</w:t>
            </w:r>
          </w:p>
        </w:tc>
        <w:tc>
          <w:tcPr>
            <w:tcW w:w="2158" w:type="dxa"/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9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07" w:type="dxa"/>
            <w:vAlign w:val="top"/>
          </w:tcPr>
          <w:p>
            <w:pPr>
              <w:pStyle w:val="6"/>
            </w:pPr>
          </w:p>
        </w:tc>
        <w:tc>
          <w:tcPr>
            <w:tcW w:w="1169" w:type="dxa"/>
            <w:vAlign w:val="top"/>
          </w:tcPr>
          <w:p>
            <w:pPr>
              <w:spacing w:before="94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9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4.89</w:t>
            </w:r>
          </w:p>
        </w:tc>
        <w:tc>
          <w:tcPr>
            <w:tcW w:w="1307" w:type="dxa"/>
            <w:vAlign w:val="top"/>
          </w:tcPr>
          <w:p>
            <w:pPr>
              <w:pStyle w:val="6"/>
            </w:pPr>
          </w:p>
        </w:tc>
        <w:tc>
          <w:tcPr>
            <w:tcW w:w="1169" w:type="dxa"/>
            <w:vAlign w:val="top"/>
          </w:tcPr>
          <w:p>
            <w:pPr>
              <w:spacing w:before="94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4.89</w:t>
            </w: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6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2158" w:type="dxa"/>
            <w:vAlign w:val="top"/>
          </w:tcPr>
          <w:p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1367" w:type="dxa"/>
            <w:vAlign w:val="top"/>
          </w:tcPr>
          <w:p>
            <w:pPr>
              <w:spacing w:before="94" w:line="183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307" w:type="dxa"/>
            <w:vAlign w:val="top"/>
          </w:tcPr>
          <w:p>
            <w:pPr>
              <w:pStyle w:val="6"/>
            </w:pPr>
          </w:p>
        </w:tc>
        <w:tc>
          <w:tcPr>
            <w:tcW w:w="1169" w:type="dxa"/>
            <w:vAlign w:val="top"/>
          </w:tcPr>
          <w:p>
            <w:pPr>
              <w:spacing w:before="94" w:line="183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其他商品和服务支出</w:t>
            </w:r>
          </w:p>
        </w:tc>
        <w:tc>
          <w:tcPr>
            <w:tcW w:w="2158" w:type="dxa"/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9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1.02</w:t>
            </w:r>
          </w:p>
        </w:tc>
        <w:tc>
          <w:tcPr>
            <w:tcW w:w="1307" w:type="dxa"/>
            <w:vAlign w:val="top"/>
          </w:tcPr>
          <w:p>
            <w:pPr>
              <w:pStyle w:val="6"/>
            </w:pPr>
          </w:p>
        </w:tc>
        <w:tc>
          <w:tcPr>
            <w:tcW w:w="1169" w:type="dxa"/>
            <w:vAlign w:val="top"/>
          </w:tcPr>
          <w:p>
            <w:pPr>
              <w:spacing w:before="94" w:line="183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1.02</w:t>
            </w:r>
          </w:p>
        </w:tc>
      </w:tr>
      <w:tr>
        <w:tblPrEx>
          <w:tblLayout w:type="fixed"/>
        </w:tblPrEx>
        <w:trPr>
          <w:trHeight w:val="338" w:hRule="atLeast"/>
        </w:trPr>
        <w:tc>
          <w:tcPr>
            <w:tcW w:w="2967" w:type="dxa"/>
            <w:vAlign w:val="top"/>
          </w:tcPr>
          <w:p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6"/>
            </w:pPr>
          </w:p>
        </w:tc>
        <w:tc>
          <w:tcPr>
            <w:tcW w:w="1367" w:type="dxa"/>
            <w:vAlign w:val="top"/>
          </w:tcPr>
          <w:p>
            <w:pPr>
              <w:spacing w:before="9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6.08</w:t>
            </w:r>
          </w:p>
        </w:tc>
        <w:tc>
          <w:tcPr>
            <w:tcW w:w="1307" w:type="dxa"/>
            <w:vAlign w:val="top"/>
          </w:tcPr>
          <w:p>
            <w:pPr>
              <w:spacing w:before="9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6.08</w:t>
            </w:r>
          </w:p>
        </w:tc>
        <w:tc>
          <w:tcPr>
            <w:tcW w:w="116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343" w:hRule="atLeast"/>
        </w:trPr>
        <w:tc>
          <w:tcPr>
            <w:tcW w:w="2967" w:type="dxa"/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58" w:type="dxa"/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67" w:type="dxa"/>
            <w:vAlign w:val="top"/>
          </w:tcPr>
          <w:p>
            <w:pPr>
              <w:spacing w:before="9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6.08</w:t>
            </w:r>
          </w:p>
        </w:tc>
        <w:tc>
          <w:tcPr>
            <w:tcW w:w="1307" w:type="dxa"/>
            <w:vAlign w:val="top"/>
          </w:tcPr>
          <w:p>
            <w:pPr>
              <w:spacing w:before="94" w:line="183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6.08</w:t>
            </w:r>
          </w:p>
        </w:tc>
        <w:tc>
          <w:tcPr>
            <w:tcW w:w="1169" w:type="dxa"/>
            <w:vAlign w:val="top"/>
          </w:tcPr>
          <w:p>
            <w:pPr>
              <w:pStyle w:val="6"/>
            </w:pPr>
          </w:p>
        </w:tc>
      </w:tr>
    </w:tbl>
    <w:p>
      <w:pPr>
        <w:pStyle w:val="2"/>
      </w:pPr>
    </w:p>
    <w:p>
      <w:pPr>
        <w:sectPr>
          <w:headerReference r:id="rId22" w:type="default"/>
          <w:footerReference r:id="rId23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>
        <w:tblPrEx>
          <w:tblLayout w:type="fixed"/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2023年政府性基金预算收入表（不含上年结转）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单位</w:t>
            </w:r>
            <w:r>
              <w:rPr>
                <w:rFonts w:ascii="宋体" w:hAnsi="宋体" w:eastAsia="宋体" w:cs="宋体"/>
                <w:color w:val="212529"/>
                <w:spacing w:val="-4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:万元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308" w:type="dxa"/>
            <w:vAlign w:val="top"/>
          </w:tcPr>
          <w:p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6"/>
            </w:pPr>
          </w:p>
        </w:tc>
        <w:tc>
          <w:tcPr>
            <w:tcW w:w="4748" w:type="dxa"/>
            <w:vAlign w:val="top"/>
          </w:tcPr>
          <w:p>
            <w:pPr>
              <w:pStyle w:val="6"/>
            </w:pPr>
          </w:p>
        </w:tc>
        <w:tc>
          <w:tcPr>
            <w:tcW w:w="1960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>
      <w:pPr>
        <w:pStyle w:val="2"/>
      </w:pPr>
    </w:p>
    <w:p>
      <w:pPr>
        <w:sectPr>
          <w:headerReference r:id="rId24" w:type="default"/>
          <w:footerReference r:id="rId25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>
        <w:tblPrEx>
          <w:tblLayout w:type="fixed"/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>
        <w:tblPrEx>
          <w:tblLayout w:type="fixed"/>
        </w:tblPrEx>
        <w:trPr>
          <w:trHeight w:val="420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2023年政府性基金预算支出表（不含上年结转）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0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0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单位</w:t>
            </w:r>
            <w:r>
              <w:rPr>
                <w:rFonts w:ascii="宋体" w:hAnsi="宋体" w:eastAsia="宋体" w:cs="宋体"/>
                <w:color w:val="212529"/>
                <w:spacing w:val="-4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:万元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068" w:type="dxa"/>
            <w:vAlign w:val="top"/>
          </w:tcPr>
          <w:p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6"/>
            </w:pPr>
          </w:p>
        </w:tc>
        <w:tc>
          <w:tcPr>
            <w:tcW w:w="1139" w:type="dxa"/>
            <w:vAlign w:val="top"/>
          </w:tcPr>
          <w:p>
            <w:pPr>
              <w:pStyle w:val="6"/>
            </w:pPr>
          </w:p>
        </w:tc>
        <w:tc>
          <w:tcPr>
            <w:tcW w:w="1193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6"/>
            </w:pPr>
          </w:p>
        </w:tc>
        <w:tc>
          <w:tcPr>
            <w:tcW w:w="3489" w:type="dxa"/>
            <w:vAlign w:val="top"/>
          </w:tcPr>
          <w:p>
            <w:pPr>
              <w:pStyle w:val="6"/>
            </w:pPr>
          </w:p>
        </w:tc>
        <w:tc>
          <w:tcPr>
            <w:tcW w:w="1127" w:type="dxa"/>
            <w:vAlign w:val="top"/>
          </w:tcPr>
          <w:p>
            <w:pPr>
              <w:pStyle w:val="6"/>
            </w:pPr>
          </w:p>
        </w:tc>
        <w:tc>
          <w:tcPr>
            <w:tcW w:w="1139" w:type="dxa"/>
            <w:vAlign w:val="top"/>
          </w:tcPr>
          <w:p>
            <w:pPr>
              <w:pStyle w:val="6"/>
            </w:pPr>
          </w:p>
        </w:tc>
        <w:tc>
          <w:tcPr>
            <w:tcW w:w="1193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>
      <w:pPr>
        <w:pStyle w:val="2"/>
      </w:pPr>
    </w:p>
    <w:p>
      <w:pPr>
        <w:sectPr>
          <w:footerReference r:id="rId26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1535"/>
        <w:gridCol w:w="851"/>
        <w:gridCol w:w="1295"/>
        <w:gridCol w:w="1271"/>
        <w:gridCol w:w="875"/>
        <w:gridCol w:w="827"/>
        <w:gridCol w:w="929"/>
      </w:tblGrid>
      <w:tr>
        <w:tblPrEx>
          <w:tblLayout w:type="fixed"/>
        </w:tblPrEx>
        <w:trPr>
          <w:trHeight w:val="427" w:hRule="atLeast"/>
        </w:trPr>
        <w:tc>
          <w:tcPr>
            <w:tcW w:w="143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5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8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8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0" w:line="219" w:lineRule="auto"/>
              <w:ind w:left="1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2023年国有资本经营预算收支预算表（不含上年结转）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8087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92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819" w:type="dxa"/>
            <w:gridSpan w:val="3"/>
            <w:vAlign w:val="top"/>
          </w:tcPr>
          <w:p>
            <w:pPr>
              <w:spacing w:before="108" w:line="219" w:lineRule="auto"/>
              <w:ind w:left="10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197" w:type="dxa"/>
            <w:gridSpan w:val="5"/>
            <w:vAlign w:val="top"/>
          </w:tcPr>
          <w:p>
            <w:pPr>
              <w:spacing w:before="108" w:line="219" w:lineRule="auto"/>
              <w:ind w:left="17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968" w:type="dxa"/>
            <w:gridSpan w:val="2"/>
            <w:vAlign w:val="top"/>
          </w:tcPr>
          <w:p>
            <w:pPr>
              <w:spacing w:before="110" w:line="220" w:lineRule="auto"/>
              <w:ind w:left="13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>
            <w:pPr>
              <w:spacing w:before="122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>
            <w:pPr>
              <w:spacing w:line="209" w:lineRule="auto"/>
              <w:ind w:left="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经营收入</w:t>
            </w:r>
          </w:p>
          <w:p>
            <w:pPr>
              <w:spacing w:line="219" w:lineRule="auto"/>
              <w:ind w:left="2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9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8" w:line="219" w:lineRule="auto"/>
              <w:ind w:left="2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27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8" w:line="219" w:lineRule="auto"/>
              <w:ind w:left="2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87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9" w:line="221" w:lineRule="auto"/>
              <w:ind w:left="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82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8" w:line="219" w:lineRule="auto"/>
              <w:ind w:left="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92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9" w:line="220" w:lineRule="auto"/>
              <w:ind w:left="1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433" w:type="dxa"/>
            <w:vAlign w:val="top"/>
          </w:tcPr>
          <w:p>
            <w:pPr>
              <w:spacing w:before="110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535" w:type="dxa"/>
            <w:vAlign w:val="top"/>
          </w:tcPr>
          <w:p>
            <w:pPr>
              <w:spacing w:before="110" w:line="219" w:lineRule="auto"/>
              <w:ind w:left="4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851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29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271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7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2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92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2968" w:type="dxa"/>
            <w:gridSpan w:val="2"/>
            <w:vAlign w:val="top"/>
          </w:tcPr>
          <w:p>
            <w:pPr>
              <w:spacing w:before="111" w:line="221" w:lineRule="auto"/>
              <w:ind w:left="13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pStyle w:val="6"/>
            </w:pP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0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1535" w:type="dxa"/>
            <w:vAlign w:val="top"/>
          </w:tcPr>
          <w:p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0" w:line="184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1271" w:type="dxa"/>
            <w:vAlign w:val="top"/>
          </w:tcPr>
          <w:p>
            <w:pPr>
              <w:spacing w:before="11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1433" w:type="dxa"/>
            <w:vAlign w:val="top"/>
          </w:tcPr>
          <w:p>
            <w:pPr>
              <w:spacing w:before="141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1535" w:type="dxa"/>
            <w:vAlign w:val="top"/>
          </w:tcPr>
          <w:p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1" w:line="184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1271" w:type="dxa"/>
            <w:vAlign w:val="top"/>
          </w:tcPr>
          <w:p>
            <w:pPr>
              <w:spacing w:before="113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1433" w:type="dxa"/>
            <w:vAlign w:val="top"/>
          </w:tcPr>
          <w:p>
            <w:pPr>
              <w:spacing w:before="142" w:line="18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2100406</w:t>
            </w:r>
          </w:p>
        </w:tc>
        <w:tc>
          <w:tcPr>
            <w:tcW w:w="1535" w:type="dxa"/>
            <w:vAlign w:val="top"/>
          </w:tcPr>
          <w:p>
            <w:pPr>
              <w:spacing w:before="11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采供血机构</w:t>
            </w:r>
          </w:p>
        </w:tc>
        <w:tc>
          <w:tcPr>
            <w:tcW w:w="851" w:type="dxa"/>
            <w:vAlign w:val="top"/>
          </w:tcPr>
          <w:p>
            <w:pPr>
              <w:pStyle w:val="6"/>
            </w:pPr>
          </w:p>
        </w:tc>
        <w:tc>
          <w:tcPr>
            <w:tcW w:w="1295" w:type="dxa"/>
            <w:vAlign w:val="top"/>
          </w:tcPr>
          <w:p>
            <w:pPr>
              <w:spacing w:before="142" w:line="184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2100406</w:t>
            </w:r>
          </w:p>
        </w:tc>
        <w:tc>
          <w:tcPr>
            <w:tcW w:w="1271" w:type="dxa"/>
            <w:vAlign w:val="top"/>
          </w:tcPr>
          <w:p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采供血机构</w:t>
            </w:r>
          </w:p>
        </w:tc>
        <w:tc>
          <w:tcPr>
            <w:tcW w:w="875" w:type="dxa"/>
            <w:vAlign w:val="top"/>
          </w:tcPr>
          <w:p>
            <w:pPr>
              <w:pStyle w:val="6"/>
            </w:pPr>
          </w:p>
        </w:tc>
        <w:tc>
          <w:tcPr>
            <w:tcW w:w="827" w:type="dxa"/>
            <w:vAlign w:val="top"/>
          </w:tcPr>
          <w:p>
            <w:pPr>
              <w:pStyle w:val="6"/>
            </w:pPr>
          </w:p>
        </w:tc>
        <w:tc>
          <w:tcPr>
            <w:tcW w:w="92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>
      <w:pPr>
        <w:pStyle w:val="2"/>
      </w:pPr>
    </w:p>
    <w:p>
      <w:pPr>
        <w:sectPr>
          <w:headerReference r:id="rId27" w:type="default"/>
          <w:footerReference r:id="rId28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99"/>
        <w:gridCol w:w="1534"/>
        <w:gridCol w:w="1451"/>
        <w:gridCol w:w="1271"/>
        <w:gridCol w:w="1361"/>
      </w:tblGrid>
      <w:tr>
        <w:tblPrEx>
          <w:tblLayout w:type="fixed"/>
        </w:tblPrEx>
        <w:trPr>
          <w:trHeight w:val="427" w:hRule="atLeast"/>
        </w:trPr>
        <w:tc>
          <w:tcPr>
            <w:tcW w:w="33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53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6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2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2023年一般公共预算“三公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6384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6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单位</w:t>
            </w:r>
            <w:r>
              <w:rPr>
                <w:rFonts w:ascii="宋体" w:hAnsi="宋体" w:eastAsia="宋体" w:cs="宋体"/>
                <w:color w:val="212529"/>
                <w:spacing w:val="-4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:万元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39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59" w:line="220" w:lineRule="auto"/>
              <w:ind w:left="15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617" w:type="dxa"/>
            <w:gridSpan w:val="4"/>
            <w:vAlign w:val="top"/>
          </w:tcPr>
          <w:p>
            <w:pPr>
              <w:spacing w:before="109" w:line="219" w:lineRule="auto"/>
              <w:ind w:left="2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2023年预算数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39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34" w:type="dxa"/>
            <w:vAlign w:val="top"/>
          </w:tcPr>
          <w:p>
            <w:pPr>
              <w:spacing w:before="109" w:line="221" w:lineRule="auto"/>
              <w:ind w:left="5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51" w:type="dxa"/>
            <w:vAlign w:val="top"/>
          </w:tcPr>
          <w:p>
            <w:pPr>
              <w:spacing w:before="110" w:line="219" w:lineRule="auto"/>
              <w:ind w:left="1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71" w:type="dxa"/>
            <w:vAlign w:val="top"/>
          </w:tcPr>
          <w:p>
            <w:pPr>
              <w:spacing w:before="10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361" w:type="dxa"/>
            <w:vAlign w:val="top"/>
          </w:tcPr>
          <w:p>
            <w:pPr>
              <w:spacing w:before="1" w:line="210" w:lineRule="auto"/>
              <w:ind w:left="588" w:right="50" w:hanging="5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399" w:type="dxa"/>
            <w:vAlign w:val="top"/>
          </w:tcPr>
          <w:p>
            <w:pPr>
              <w:spacing w:before="111" w:line="220" w:lineRule="auto"/>
              <w:ind w:left="9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534" w:type="dxa"/>
            <w:vAlign w:val="top"/>
          </w:tcPr>
          <w:p>
            <w:pPr>
              <w:pStyle w:val="6"/>
            </w:pPr>
          </w:p>
        </w:tc>
        <w:tc>
          <w:tcPr>
            <w:tcW w:w="1451" w:type="dxa"/>
            <w:vAlign w:val="top"/>
          </w:tcPr>
          <w:p>
            <w:pPr>
              <w:pStyle w:val="6"/>
            </w:pP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1361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399" w:type="dxa"/>
            <w:vAlign w:val="top"/>
          </w:tcPr>
          <w:p>
            <w:pPr>
              <w:spacing w:before="112" w:line="219" w:lineRule="auto"/>
              <w:ind w:left="1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534" w:type="dxa"/>
            <w:vAlign w:val="top"/>
          </w:tcPr>
          <w:p>
            <w:pPr>
              <w:pStyle w:val="6"/>
            </w:pPr>
          </w:p>
        </w:tc>
        <w:tc>
          <w:tcPr>
            <w:tcW w:w="1451" w:type="dxa"/>
            <w:vAlign w:val="top"/>
          </w:tcPr>
          <w:p>
            <w:pPr>
              <w:pStyle w:val="6"/>
            </w:pP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1361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3399" w:type="dxa"/>
            <w:vAlign w:val="top"/>
          </w:tcPr>
          <w:p>
            <w:pPr>
              <w:spacing w:before="113" w:line="219" w:lineRule="auto"/>
              <w:ind w:left="8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534" w:type="dxa"/>
            <w:vAlign w:val="top"/>
          </w:tcPr>
          <w:p>
            <w:pPr>
              <w:spacing w:before="140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451" w:type="dxa"/>
            <w:vAlign w:val="top"/>
          </w:tcPr>
          <w:p>
            <w:pPr>
              <w:spacing w:before="140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1361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399" w:type="dxa"/>
            <w:vAlign w:val="top"/>
          </w:tcPr>
          <w:p>
            <w:pPr>
              <w:spacing w:before="113" w:line="217" w:lineRule="auto"/>
              <w:ind w:left="9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534" w:type="dxa"/>
            <w:vAlign w:val="top"/>
          </w:tcPr>
          <w:p>
            <w:pPr>
              <w:pStyle w:val="6"/>
            </w:pPr>
          </w:p>
        </w:tc>
        <w:tc>
          <w:tcPr>
            <w:tcW w:w="1451" w:type="dxa"/>
            <w:vAlign w:val="top"/>
          </w:tcPr>
          <w:p>
            <w:pPr>
              <w:pStyle w:val="6"/>
            </w:pP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1361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2" w:hRule="atLeast"/>
        </w:trPr>
        <w:tc>
          <w:tcPr>
            <w:tcW w:w="3399" w:type="dxa"/>
            <w:vAlign w:val="top"/>
          </w:tcPr>
          <w:p>
            <w:pPr>
              <w:spacing w:before="114" w:line="217" w:lineRule="auto"/>
              <w:ind w:left="7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534" w:type="dxa"/>
            <w:vAlign w:val="top"/>
          </w:tcPr>
          <w:p>
            <w:pPr>
              <w:spacing w:before="142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451" w:type="dxa"/>
            <w:vAlign w:val="top"/>
          </w:tcPr>
          <w:p>
            <w:pPr>
              <w:spacing w:before="142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1361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7" w:hRule="atLeast"/>
        </w:trPr>
        <w:tc>
          <w:tcPr>
            <w:tcW w:w="3399" w:type="dxa"/>
            <w:vAlign w:val="top"/>
          </w:tcPr>
          <w:p>
            <w:pPr>
              <w:spacing w:before="114" w:line="221" w:lineRule="auto"/>
              <w:ind w:left="1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34" w:type="dxa"/>
            <w:vAlign w:val="top"/>
          </w:tcPr>
          <w:p>
            <w:pPr>
              <w:spacing w:before="142" w:line="184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451" w:type="dxa"/>
            <w:vAlign w:val="top"/>
          </w:tcPr>
          <w:p>
            <w:pPr>
              <w:spacing w:before="142" w:line="184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1361" w:type="dxa"/>
            <w:vAlign w:val="top"/>
          </w:tcPr>
          <w:p>
            <w:pPr>
              <w:pStyle w:val="6"/>
            </w:pPr>
          </w:p>
        </w:tc>
      </w:tr>
    </w:tbl>
    <w:p>
      <w:pPr>
        <w:pStyle w:val="2"/>
      </w:pPr>
    </w:p>
    <w:p>
      <w:pPr>
        <w:sectPr>
          <w:footerReference r:id="rId29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>
        <w:tblPrEx>
          <w:tblLayout w:type="fixed"/>
        </w:tblPrEx>
        <w:trPr>
          <w:trHeight w:val="426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71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1" w:line="219" w:lineRule="auto"/>
              <w:ind w:left="2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2023年机关运行经费预算财政拨款情况统计表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单位</w:t>
            </w:r>
            <w:r>
              <w:rPr>
                <w:rFonts w:ascii="宋体" w:hAnsi="宋体" w:eastAsia="宋体" w:cs="宋体"/>
                <w:color w:val="212529"/>
                <w:spacing w:val="-4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5"/>
                <w:szCs w:val="15"/>
              </w:rPr>
              <w:t>:万元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761" w:type="dxa"/>
            <w:gridSpan w:val="4"/>
            <w:vAlign w:val="top"/>
          </w:tcPr>
          <w:p>
            <w:pPr>
              <w:spacing w:before="110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2023预算数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271" w:type="dxa"/>
            <w:vAlign w:val="top"/>
          </w:tcPr>
          <w:p>
            <w:pPr>
              <w:spacing w:before="110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spacing w:before="111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spacing w:before="110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spacing w:before="110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255" w:type="dxa"/>
            <w:vAlign w:val="top"/>
          </w:tcPr>
          <w:p>
            <w:pPr>
              <w:spacing w:before="112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1367" w:type="dxa"/>
            <w:vAlign w:val="top"/>
          </w:tcPr>
          <w:p>
            <w:pPr>
              <w:pStyle w:val="6"/>
            </w:pPr>
          </w:p>
        </w:tc>
        <w:tc>
          <w:tcPr>
            <w:tcW w:w="1463" w:type="dxa"/>
            <w:vAlign w:val="top"/>
          </w:tcPr>
          <w:p>
            <w:pPr>
              <w:pStyle w:val="6"/>
            </w:pPr>
          </w:p>
        </w:tc>
        <w:tc>
          <w:tcPr>
            <w:tcW w:w="1660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6"/>
            </w:pPr>
          </w:p>
        </w:tc>
        <w:tc>
          <w:tcPr>
            <w:tcW w:w="1271" w:type="dxa"/>
            <w:vAlign w:val="top"/>
          </w:tcPr>
          <w:p>
            <w:pPr>
              <w:pStyle w:val="6"/>
            </w:pPr>
          </w:p>
        </w:tc>
        <w:tc>
          <w:tcPr>
            <w:tcW w:w="1367" w:type="dxa"/>
            <w:vAlign w:val="top"/>
          </w:tcPr>
          <w:p>
            <w:pPr>
              <w:pStyle w:val="6"/>
            </w:pPr>
          </w:p>
        </w:tc>
        <w:tc>
          <w:tcPr>
            <w:tcW w:w="1463" w:type="dxa"/>
            <w:vAlign w:val="top"/>
          </w:tcPr>
          <w:p>
            <w:pPr>
              <w:pStyle w:val="6"/>
            </w:pPr>
          </w:p>
        </w:tc>
        <w:tc>
          <w:tcPr>
            <w:tcW w:w="1660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6" w:hRule="atLeast"/>
        </w:trPr>
        <w:tc>
          <w:tcPr>
            <w:tcW w:w="325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4" w:line="185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8"/>
                <w:sz w:val="18"/>
                <w:szCs w:val="18"/>
              </w:rPr>
              <w:t>注 ：本表无数据</w:t>
            </w:r>
          </w:p>
        </w:tc>
        <w:tc>
          <w:tcPr>
            <w:tcW w:w="1271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67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46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66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</w:tr>
    </w:tbl>
    <w:p>
      <w:pPr>
        <w:pStyle w:val="2"/>
      </w:pPr>
    </w:p>
    <w:p>
      <w:pPr>
        <w:sectPr>
          <w:headerReference r:id="rId30" w:type="default"/>
          <w:footerReference r:id="rId31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00"/>
        <w:gridCol w:w="971"/>
        <w:gridCol w:w="983"/>
        <w:gridCol w:w="695"/>
        <w:gridCol w:w="1199"/>
        <w:gridCol w:w="1175"/>
        <w:gridCol w:w="893"/>
      </w:tblGrid>
      <w:tr>
        <w:tblPrEx>
          <w:tblLayout w:type="fixed"/>
        </w:tblPrEx>
        <w:trPr>
          <w:trHeight w:val="427" w:hRule="atLeast"/>
        </w:trPr>
        <w:tc>
          <w:tcPr>
            <w:tcW w:w="31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8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6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206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0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2023年项目支出预算表（本年预算）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6948" w:type="dxa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2068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1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60" w:lineRule="auto"/>
            </w:pPr>
          </w:p>
          <w:p>
            <w:pPr>
              <w:spacing w:before="58" w:line="220" w:lineRule="auto"/>
              <w:ind w:left="1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59" w:lineRule="auto"/>
            </w:pPr>
          </w:p>
          <w:p>
            <w:pPr>
              <w:spacing w:before="59" w:line="221" w:lineRule="auto"/>
              <w:ind w:left="3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877" w:type="dxa"/>
            <w:gridSpan w:val="3"/>
            <w:vAlign w:val="top"/>
          </w:tcPr>
          <w:p>
            <w:pPr>
              <w:spacing w:before="109" w:line="219" w:lineRule="auto"/>
              <w:ind w:left="8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2023年财政拨款</w:t>
            </w:r>
          </w:p>
        </w:tc>
        <w:tc>
          <w:tcPr>
            <w:tcW w:w="117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52" w:lineRule="auto"/>
            </w:pPr>
          </w:p>
          <w:p>
            <w:pPr>
              <w:spacing w:before="59" w:line="215" w:lineRule="auto"/>
              <w:ind w:left="414" w:right="46" w:hanging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89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60" w:lineRule="auto"/>
            </w:pPr>
          </w:p>
          <w:p>
            <w:pPr>
              <w:spacing w:before="58" w:line="220" w:lineRule="auto"/>
              <w:ind w:lef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>
        <w:tblPrEx>
          <w:tblLayout w:type="fixed"/>
        </w:tblPrEx>
        <w:trPr>
          <w:trHeight w:val="612" w:hRule="atLeast"/>
        </w:trPr>
        <w:tc>
          <w:tcPr>
            <w:tcW w:w="310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983" w:type="dxa"/>
            <w:vAlign w:val="top"/>
          </w:tcPr>
          <w:p>
            <w:pPr>
              <w:spacing w:before="98" w:line="214" w:lineRule="auto"/>
              <w:ind w:left="398" w:right="44" w:hanging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一般公共预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695" w:type="dxa"/>
            <w:vAlign w:val="top"/>
          </w:tcPr>
          <w:p>
            <w:pPr>
              <w:spacing w:before="2" w:line="209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>
            <w:pPr>
              <w:spacing w:line="209" w:lineRule="auto"/>
              <w:ind w:left="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>
            <w:pPr>
              <w:spacing w:line="196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99" w:type="dxa"/>
            <w:vAlign w:val="top"/>
          </w:tcPr>
          <w:p>
            <w:pPr>
              <w:spacing w:before="98" w:line="214" w:lineRule="auto"/>
              <w:ind w:left="418" w:right="59" w:hanging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17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93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100" w:type="dxa"/>
            <w:vAlign w:val="top"/>
          </w:tcPr>
          <w:p>
            <w:pPr>
              <w:spacing w:before="139" w:line="184" w:lineRule="auto"/>
              <w:ind w:left="1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971" w:type="dxa"/>
            <w:vAlign w:val="top"/>
          </w:tcPr>
          <w:p>
            <w:pPr>
              <w:spacing w:before="140" w:line="183" w:lineRule="auto"/>
              <w:ind w:left="4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983" w:type="dxa"/>
            <w:vAlign w:val="top"/>
          </w:tcPr>
          <w:p>
            <w:pPr>
              <w:spacing w:before="140" w:line="183" w:lineRule="auto"/>
              <w:ind w:left="4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95" w:type="dxa"/>
            <w:vAlign w:val="top"/>
          </w:tcPr>
          <w:p>
            <w:pPr>
              <w:spacing w:before="140" w:line="183" w:lineRule="auto"/>
              <w:ind w:left="3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99" w:type="dxa"/>
            <w:vAlign w:val="top"/>
          </w:tcPr>
          <w:p>
            <w:pPr>
              <w:spacing w:before="141" w:line="182" w:lineRule="auto"/>
              <w:ind w:left="5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175" w:type="dxa"/>
            <w:vAlign w:val="top"/>
          </w:tcPr>
          <w:p>
            <w:pPr>
              <w:spacing w:before="140" w:line="183" w:lineRule="auto"/>
              <w:ind w:left="5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893" w:type="dxa"/>
            <w:vAlign w:val="top"/>
          </w:tcPr>
          <w:p>
            <w:pPr>
              <w:spacing w:before="141" w:line="182" w:lineRule="auto"/>
              <w:ind w:left="4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3100" w:type="dxa"/>
            <w:vAlign w:val="top"/>
          </w:tcPr>
          <w:p>
            <w:pPr>
              <w:pStyle w:val="6"/>
            </w:pPr>
          </w:p>
        </w:tc>
        <w:tc>
          <w:tcPr>
            <w:tcW w:w="971" w:type="dxa"/>
            <w:vAlign w:val="top"/>
          </w:tcPr>
          <w:p>
            <w:pPr>
              <w:pStyle w:val="6"/>
            </w:pPr>
          </w:p>
        </w:tc>
        <w:tc>
          <w:tcPr>
            <w:tcW w:w="983" w:type="dxa"/>
            <w:vAlign w:val="top"/>
          </w:tcPr>
          <w:p>
            <w:pPr>
              <w:pStyle w:val="6"/>
            </w:pPr>
          </w:p>
        </w:tc>
        <w:tc>
          <w:tcPr>
            <w:tcW w:w="695" w:type="dxa"/>
            <w:vAlign w:val="top"/>
          </w:tcPr>
          <w:p>
            <w:pPr>
              <w:pStyle w:val="6"/>
            </w:pPr>
          </w:p>
        </w:tc>
        <w:tc>
          <w:tcPr>
            <w:tcW w:w="1199" w:type="dxa"/>
            <w:vAlign w:val="top"/>
          </w:tcPr>
          <w:p>
            <w:pPr>
              <w:pStyle w:val="6"/>
            </w:pPr>
          </w:p>
        </w:tc>
        <w:tc>
          <w:tcPr>
            <w:tcW w:w="1175" w:type="dxa"/>
            <w:vAlign w:val="top"/>
          </w:tcPr>
          <w:p>
            <w:pPr>
              <w:pStyle w:val="6"/>
            </w:pPr>
          </w:p>
        </w:tc>
        <w:tc>
          <w:tcPr>
            <w:tcW w:w="893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7" w:hRule="atLeast"/>
        </w:trPr>
        <w:tc>
          <w:tcPr>
            <w:tcW w:w="310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97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8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69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9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7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89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</w:tr>
    </w:tbl>
    <w:p>
      <w:pPr>
        <w:pStyle w:val="2"/>
      </w:pPr>
    </w:p>
    <w:p>
      <w:pPr>
        <w:sectPr>
          <w:footerReference r:id="rId32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>
        <w:tblPrEx>
          <w:tblLayout w:type="fixed"/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2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2023年项目支出预算表（上年结转）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单位名称：朔州市中心血站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2023年财政拨款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vAlign w:val="top"/>
          </w:tcPr>
          <w:p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spacing w:before="3" w:line="209" w:lineRule="auto"/>
              <w:ind w:left="426" w:right="154" w:hanging="2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4058" w:type="dxa"/>
            <w:vAlign w:val="top"/>
          </w:tcPr>
          <w:p>
            <w:pPr>
              <w:spacing w:before="139" w:line="184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spacing w:before="140" w:line="183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spacing w:before="140" w:line="183" w:lineRule="auto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spacing w:before="140" w:line="183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spacing w:before="141" w:line="182" w:lineRule="auto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>
        <w:tblPrEx>
          <w:tblLayout w:type="fixed"/>
        </w:tblPrEx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6"/>
            </w:pPr>
          </w:p>
        </w:tc>
        <w:tc>
          <w:tcPr>
            <w:tcW w:w="1139" w:type="dxa"/>
            <w:vAlign w:val="top"/>
          </w:tcPr>
          <w:p>
            <w:pPr>
              <w:pStyle w:val="6"/>
            </w:pPr>
          </w:p>
        </w:tc>
        <w:tc>
          <w:tcPr>
            <w:tcW w:w="1259" w:type="dxa"/>
            <w:vAlign w:val="top"/>
          </w:tcPr>
          <w:p>
            <w:pPr>
              <w:pStyle w:val="6"/>
            </w:pPr>
          </w:p>
        </w:tc>
        <w:tc>
          <w:tcPr>
            <w:tcW w:w="1211" w:type="dxa"/>
            <w:vAlign w:val="top"/>
          </w:tcPr>
          <w:p>
            <w:pPr>
              <w:pStyle w:val="6"/>
            </w:pPr>
          </w:p>
        </w:tc>
        <w:tc>
          <w:tcPr>
            <w:tcW w:w="1349" w:type="dxa"/>
            <w:vAlign w:val="top"/>
          </w:tcPr>
          <w:p>
            <w:pPr>
              <w:pStyle w:val="6"/>
            </w:pPr>
          </w:p>
        </w:tc>
      </w:tr>
      <w:tr>
        <w:tblPrEx>
          <w:tblLayout w:type="fixed"/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</w:pPr>
          </w:p>
        </w:tc>
      </w:tr>
    </w:tbl>
    <w:p>
      <w:pPr>
        <w:pStyle w:val="2"/>
      </w:pPr>
    </w:p>
    <w:p>
      <w:pPr>
        <w:sectPr>
          <w:footerReference r:id="rId33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306" w:lineRule="auto"/>
      </w:pPr>
      <w:r>
        <w:pict>
          <v:shape id="_x0000_s1029" o:spid="_x0000_s1029" o:spt="202" type="#_x0000_t202" style="position:absolute;left:0pt;margin-left:293.3pt;margin-top:827.85pt;height:7.45pt;width:15.55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2161540</wp:posOffset>
            </wp:positionH>
            <wp:positionV relativeFrom="page">
              <wp:posOffset>4822190</wp:posOffset>
            </wp:positionV>
            <wp:extent cx="2609215" cy="200469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09084" cy="200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07" w:lineRule="auto"/>
      </w:pPr>
    </w:p>
    <w:p>
      <w:pPr>
        <w:spacing w:before="81" w:line="222" w:lineRule="auto"/>
        <w:ind w:left="386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第三部分 2023年度单位预算情况说明</w:t>
      </w:r>
    </w:p>
    <w:p>
      <w:pPr>
        <w:pStyle w:val="2"/>
        <w:spacing w:line="300" w:lineRule="auto"/>
      </w:pPr>
    </w:p>
    <w:p>
      <w:pPr>
        <w:spacing w:before="81" w:line="223" w:lineRule="auto"/>
        <w:ind w:left="129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一、单位预算收支数据变动情况及原因</w:t>
      </w:r>
    </w:p>
    <w:p>
      <w:pPr>
        <w:spacing w:before="130" w:line="220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2023年度预算收入总计345.17万元，其中：本年收入345.17万元，上年结转</w:t>
      </w:r>
    </w:p>
    <w:p>
      <w:pPr>
        <w:spacing w:before="133" w:line="432" w:lineRule="exact"/>
        <w:ind w:left="13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0.00万元，比上年增加70.76万元</w:t>
      </w:r>
      <w:r>
        <w:rPr>
          <w:rFonts w:ascii="仿宋" w:hAnsi="仿宋" w:eastAsia="仿宋" w:cs="仿宋"/>
          <w:spacing w:val="49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，增加2</w:t>
      </w:r>
      <w:r>
        <w:rPr>
          <w:rFonts w:ascii="仿宋" w:hAnsi="仿宋" w:eastAsia="仿宋" w:cs="仿宋"/>
          <w:position w:val="13"/>
          <w:sz w:val="25"/>
          <w:szCs w:val="25"/>
        </w:rPr>
        <w:t>5.79%，主要原因是2023年增加了职工的</w:t>
      </w:r>
    </w:p>
    <w:p>
      <w:pPr>
        <w:spacing w:before="1" w:line="221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基础性绩效工资，导致工资基数以及社保基数增加。；本年单位预算支出总计</w:t>
      </w:r>
    </w:p>
    <w:p>
      <w:pPr>
        <w:spacing w:before="132" w:line="220" w:lineRule="auto"/>
        <w:ind w:left="13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345.17万元，其中：本年预算安排345.17万元，上年结转0.00万元，比上年增加</w:t>
      </w:r>
    </w:p>
    <w:p>
      <w:pPr>
        <w:spacing w:before="134" w:line="432" w:lineRule="exact"/>
        <w:ind w:left="13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position w:val="13"/>
          <w:sz w:val="25"/>
          <w:szCs w:val="25"/>
        </w:rPr>
        <w:t>70.76万元，增加25.79%，主要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原因是2023年增加了职工的基础性绩效工资，导致工</w:t>
      </w:r>
    </w:p>
    <w:p>
      <w:pPr>
        <w:spacing w:line="222" w:lineRule="auto"/>
        <w:ind w:left="131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资基数以及社保基数增加。</w:t>
      </w:r>
    </w:p>
    <w:p>
      <w:pPr>
        <w:spacing w:before="132" w:line="222" w:lineRule="auto"/>
        <w:ind w:left="129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二、收入预算情况说明</w:t>
      </w:r>
    </w:p>
    <w:p>
      <w:pPr>
        <w:spacing w:before="131" w:line="319" w:lineRule="auto"/>
        <w:ind w:left="1350" w:right="1438" w:firstLine="45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2023年度预算收入345.17万元，主要包括一般</w:t>
      </w:r>
      <w:r>
        <w:rPr>
          <w:rFonts w:ascii="仿宋" w:hAnsi="仿宋" w:eastAsia="仿宋" w:cs="仿宋"/>
          <w:spacing w:val="1"/>
          <w:sz w:val="25"/>
          <w:szCs w:val="25"/>
        </w:rPr>
        <w:t>公共预算拨款收入345.17万元，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占100.00%；政府性基金预算拨款收入0.00万元，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占0.00%；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国有资本经</w:t>
      </w:r>
      <w:r>
        <w:rPr>
          <w:rFonts w:ascii="仿宋" w:hAnsi="仿宋" w:eastAsia="仿宋" w:cs="仿宋"/>
          <w:spacing w:val="-3"/>
          <w:sz w:val="25"/>
          <w:szCs w:val="25"/>
        </w:rPr>
        <w:t>营预算拨款</w:t>
      </w:r>
    </w:p>
    <w:p>
      <w:pPr>
        <w:spacing w:before="1" w:line="222" w:lineRule="auto"/>
        <w:ind w:left="132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收入0.00万元，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占0.00%；财政专户管理资金收入0.00万元，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占0.00%；单位资金</w:t>
      </w:r>
    </w:p>
    <w:p>
      <w:pPr>
        <w:spacing w:before="131" w:line="220" w:lineRule="auto"/>
        <w:ind w:left="13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0.00万元，</w:t>
      </w:r>
      <w:r>
        <w:rPr>
          <w:rFonts w:ascii="仿宋" w:hAnsi="仿宋" w:eastAsia="仿宋" w:cs="仿宋"/>
          <w:spacing w:val="-5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占0.00%；上年结转0.00万元，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占0.00%。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82" w:line="222" w:lineRule="auto"/>
        <w:ind w:left="1299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三、支出预算情况说明</w:t>
      </w:r>
    </w:p>
    <w:p>
      <w:pPr>
        <w:spacing w:before="131" w:line="432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position w:val="13"/>
          <w:sz w:val="25"/>
          <w:szCs w:val="25"/>
        </w:rPr>
        <w:t>2023年度支出预算345.17万元，其中：基本支出280.27万元，</w:t>
      </w:r>
      <w:r>
        <w:rPr>
          <w:rFonts w:ascii="仿宋" w:hAnsi="仿宋" w:eastAsia="仿宋" w:cs="仿宋"/>
          <w:spacing w:val="-64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position w:val="13"/>
          <w:sz w:val="25"/>
          <w:szCs w:val="25"/>
        </w:rPr>
        <w:t>占81.</w:t>
      </w:r>
      <w:r>
        <w:rPr>
          <w:rFonts w:ascii="仿宋" w:hAnsi="仿宋" w:eastAsia="仿宋" w:cs="仿宋"/>
          <w:spacing w:val="-1"/>
          <w:position w:val="13"/>
          <w:sz w:val="25"/>
          <w:szCs w:val="25"/>
        </w:rPr>
        <w:t>20%；项目</w:t>
      </w:r>
    </w:p>
    <w:p>
      <w:pPr>
        <w:spacing w:line="225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支出64.9万元，</w:t>
      </w:r>
      <w:r>
        <w:rPr>
          <w:rFonts w:ascii="仿宋" w:hAnsi="仿宋" w:eastAsia="仿宋" w:cs="仿宋"/>
          <w:spacing w:val="-5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占18.80%。</w:t>
      </w:r>
    </w:p>
    <w:p>
      <w:pPr>
        <w:spacing w:before="128" w:line="222" w:lineRule="auto"/>
        <w:ind w:left="131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>
      <w:pPr>
        <w:spacing w:before="131" w:line="319" w:lineRule="auto"/>
        <w:ind w:left="1306" w:right="1318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2023年度财政拨款收支总预算345.17万元。收入为一般公共预算拨款345.17万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元，政府性基金预算拨款0.00万元，国有</w:t>
      </w:r>
      <w:r>
        <w:rPr>
          <w:rFonts w:ascii="仿宋" w:hAnsi="仿宋" w:eastAsia="仿宋" w:cs="仿宋"/>
          <w:spacing w:val="1"/>
          <w:sz w:val="25"/>
          <w:szCs w:val="25"/>
        </w:rPr>
        <w:t>资本经营预算拨款0.00万元。 其中：当年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拨款收入345.17万元，上年结转收入0.00万元。支出包括：卫生健康支出345.17万</w:t>
      </w:r>
    </w:p>
    <w:p>
      <w:pPr>
        <w:spacing w:line="228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1"/>
          <w:sz w:val="25"/>
          <w:szCs w:val="25"/>
        </w:rPr>
        <w:t>元。</w:t>
      </w:r>
    </w:p>
    <w:p>
      <w:pPr>
        <w:spacing w:before="124" w:line="222" w:lineRule="auto"/>
        <w:ind w:left="1306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>
      <w:pPr>
        <w:spacing w:before="131" w:line="227" w:lineRule="auto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z w:val="25"/>
          <w:szCs w:val="25"/>
        </w:rPr>
        <w:t>（一）一般公共预算当年拨款规模变化情况</w:t>
      </w:r>
    </w:p>
    <w:p>
      <w:pPr>
        <w:spacing w:line="227" w:lineRule="auto"/>
        <w:rPr>
          <w:rFonts w:ascii="楷体" w:hAnsi="楷体" w:eastAsia="楷体" w:cs="楷体"/>
          <w:sz w:val="25"/>
          <w:szCs w:val="25"/>
        </w:rPr>
        <w:sectPr>
          <w:headerReference r:id="rId34" w:type="default"/>
          <w:footerReference r:id="rId35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362" w:lineRule="auto"/>
      </w:pPr>
      <w:r>
        <w:pict>
          <v:shape id="_x0000_s1031" o:spid="_x0000_s1031" o:spt="202" type="#_x0000_t202" style="position:absolute;left:0pt;margin-left:293.3pt;margin-top:827.85pt;height:7.45pt;width:15.55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432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2023 年度一般公共预算当年拨款345.</w:t>
      </w:r>
      <w:r>
        <w:rPr>
          <w:rFonts w:ascii="仿宋" w:hAnsi="仿宋" w:eastAsia="仿宋" w:cs="仿宋"/>
          <w:position w:val="13"/>
          <w:sz w:val="25"/>
          <w:szCs w:val="25"/>
        </w:rPr>
        <w:t>17万元,比上年增加70.76万元</w:t>
      </w:r>
      <w:r>
        <w:rPr>
          <w:rFonts w:ascii="仿宋" w:hAnsi="仿宋" w:eastAsia="仿宋" w:cs="仿宋"/>
          <w:spacing w:val="56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position w:val="13"/>
          <w:sz w:val="25"/>
          <w:szCs w:val="25"/>
        </w:rPr>
        <w:t>，增加</w:t>
      </w:r>
    </w:p>
    <w:p>
      <w:pPr>
        <w:spacing w:line="237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25.79%。</w:t>
      </w:r>
    </w:p>
    <w:p>
      <w:pPr>
        <w:spacing w:before="109" w:line="227" w:lineRule="auto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z w:val="25"/>
          <w:szCs w:val="25"/>
        </w:rPr>
        <w:t>（二）一般公共预算当年拨款结构情况</w:t>
      </w:r>
    </w:p>
    <w:p>
      <w:pPr>
        <w:spacing w:before="125" w:line="432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position w:val="13"/>
          <w:sz w:val="25"/>
          <w:szCs w:val="25"/>
        </w:rPr>
        <w:t>2023年度一般公共预算当年拨款345.17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万元,主要用于以下方面：卫生健康支出</w:t>
      </w:r>
    </w:p>
    <w:p>
      <w:pPr>
        <w:spacing w:before="1" w:line="227" w:lineRule="auto"/>
        <w:ind w:left="13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345.17万元，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占100.00%。</w:t>
      </w:r>
    </w:p>
    <w:p>
      <w:pPr>
        <w:spacing w:before="64" w:line="2954" w:lineRule="exact"/>
        <w:ind w:firstLine="4621"/>
      </w:pPr>
      <w:r>
        <w:rPr>
          <w:position w:val="-59"/>
        </w:rPr>
        <w:drawing>
          <wp:inline distT="0" distB="0" distL="0" distR="0">
            <wp:extent cx="1684020" cy="187579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84506" cy="187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0" w:lineRule="auto"/>
      </w:pPr>
    </w:p>
    <w:p>
      <w:pPr>
        <w:pStyle w:val="2"/>
        <w:spacing w:line="311" w:lineRule="auto"/>
      </w:pPr>
    </w:p>
    <w:p>
      <w:pPr>
        <w:spacing w:before="82" w:line="222" w:lineRule="auto"/>
        <w:ind w:left="130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>
      <w:pPr>
        <w:spacing w:before="132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 年度一般公共预算基本支出 280.27万元，其中：</w:t>
      </w:r>
    </w:p>
    <w:p>
      <w:pPr>
        <w:spacing w:before="130" w:line="222" w:lineRule="auto"/>
        <w:ind w:left="18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人员经费253.06万元，主要包括：其他社会保障缴费、绩效工资、基本工</w:t>
      </w:r>
    </w:p>
    <w:p>
      <w:pPr>
        <w:spacing w:before="131" w:line="432" w:lineRule="exact"/>
        <w:ind w:left="131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资、住房公积金、退休费、机关事业单位基本养老保险缴费、津贴补贴、职工基本</w:t>
      </w:r>
    </w:p>
    <w:p>
      <w:pPr>
        <w:spacing w:before="1" w:line="222" w:lineRule="auto"/>
        <w:ind w:left="132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医疗保险缴费等；</w:t>
      </w:r>
    </w:p>
    <w:p>
      <w:pPr>
        <w:spacing w:before="131" w:line="432" w:lineRule="exact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公用经费27.21万元，主要包括：办公费、公务用车运行维护费、电费、福利</w:t>
      </w:r>
    </w:p>
    <w:p>
      <w:pPr>
        <w:spacing w:line="223" w:lineRule="auto"/>
        <w:ind w:left="13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费、其他商品和服务支出、委托业务费、差旅费、水费</w:t>
      </w:r>
      <w:r>
        <w:rPr>
          <w:rFonts w:ascii="仿宋" w:hAnsi="仿宋" w:eastAsia="仿宋" w:cs="仿宋"/>
          <w:sz w:val="25"/>
          <w:szCs w:val="25"/>
        </w:rPr>
        <w:t>等。</w:t>
      </w:r>
    </w:p>
    <w:p>
      <w:pPr>
        <w:spacing w:before="130" w:line="222" w:lineRule="auto"/>
        <w:ind w:left="1293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>
      <w:pPr>
        <w:spacing w:before="131" w:line="433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position w:val="13"/>
          <w:sz w:val="25"/>
          <w:szCs w:val="25"/>
        </w:rPr>
        <w:t>2023年财政拨款安排的“三公</w:t>
      </w:r>
      <w:r>
        <w:rPr>
          <w:rFonts w:ascii="仿宋" w:hAnsi="仿宋" w:eastAsia="仿宋" w:cs="仿宋"/>
          <w:spacing w:val="-89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position w:val="13"/>
          <w:sz w:val="25"/>
          <w:szCs w:val="25"/>
        </w:rPr>
        <w:t>”经费预算12.60万元比2022年同口径减少</w:t>
      </w:r>
      <w:r>
        <w:rPr>
          <w:rFonts w:ascii="仿宋" w:hAnsi="仿宋" w:eastAsia="仿宋" w:cs="仿宋"/>
          <w:spacing w:val="36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position w:val="13"/>
          <w:sz w:val="25"/>
          <w:szCs w:val="25"/>
        </w:rPr>
        <w:t>1.44</w:t>
      </w:r>
    </w:p>
    <w:p>
      <w:pPr>
        <w:spacing w:line="221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万元，主要原因是财政核减了每辆车的公务用车运行维护费。</w:t>
      </w:r>
    </w:p>
    <w:p>
      <w:pPr>
        <w:spacing w:before="132" w:line="432" w:lineRule="exact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其中：因公出国（境）费0.00万元与上年预算数相同；公务接待费0.00万元与</w:t>
      </w:r>
    </w:p>
    <w:p>
      <w:pPr>
        <w:spacing w:line="221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上年预算数相同；公务用车运行维护费12.60万元与上年相比预算数减少1.44万</w:t>
      </w:r>
    </w:p>
    <w:p>
      <w:pPr>
        <w:spacing w:before="133" w:line="221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元；公务用车购置费0.00万元与上年预</w:t>
      </w:r>
      <w:r>
        <w:rPr>
          <w:rFonts w:ascii="仿宋" w:hAnsi="仿宋" w:eastAsia="仿宋" w:cs="仿宋"/>
          <w:sz w:val="25"/>
          <w:szCs w:val="25"/>
        </w:rPr>
        <w:t>算数相同。</w:t>
      </w:r>
    </w:p>
    <w:p>
      <w:pPr>
        <w:spacing w:line="221" w:lineRule="auto"/>
        <w:rPr>
          <w:rFonts w:ascii="仿宋" w:hAnsi="仿宋" w:eastAsia="仿宋" w:cs="仿宋"/>
          <w:sz w:val="25"/>
          <w:szCs w:val="25"/>
        </w:rPr>
        <w:sectPr>
          <w:headerReference r:id="rId36" w:type="default"/>
          <w:footerReference r:id="rId37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246" w:lineRule="auto"/>
      </w:pPr>
      <w:r>
        <w:pict>
          <v:shape id="_x0000_s1032" o:spid="_x0000_s1032" o:spt="202" type="#_x0000_t202" style="position:absolute;left:0pt;margin-left:293.3pt;margin-top:827.85pt;height:7.45pt;width:15.55pt;mso-position-horizontal-relative:page;mso-position-vertical-relative:page;z-index:25166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line="2839" w:lineRule="exact"/>
        <w:ind w:firstLine="1828"/>
      </w:pPr>
      <w:r>
        <w:rPr>
          <w:position w:val="-56"/>
        </w:rPr>
        <w:drawing>
          <wp:inline distT="0" distB="0" distL="0" distR="0">
            <wp:extent cx="5091430" cy="180276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91514" cy="18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spacing w:before="81" w:line="222" w:lineRule="auto"/>
        <w:ind w:left="129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>
      <w:pPr>
        <w:spacing w:before="130" w:line="433" w:lineRule="exact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新血站建成后，房屋面积增加，经费增加。</w:t>
      </w:r>
    </w:p>
    <w:p>
      <w:pPr>
        <w:spacing w:line="224" w:lineRule="auto"/>
        <w:ind w:left="1300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>
      <w:pPr>
        <w:spacing w:before="128" w:line="432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2023年朔州市中心血站部门各单位政府采购预算总额26.4万元。其中：政府采</w:t>
      </w:r>
    </w:p>
    <w:p>
      <w:pPr>
        <w:spacing w:line="222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购货物预算0万元、政府采购工程预算 0万元、政府采购服务</w:t>
      </w:r>
      <w:r>
        <w:rPr>
          <w:rFonts w:ascii="仿宋" w:hAnsi="仿宋" w:eastAsia="仿宋" w:cs="仿宋"/>
          <w:spacing w:val="1"/>
          <w:sz w:val="25"/>
          <w:szCs w:val="25"/>
        </w:rPr>
        <w:t>预算26.4万元。</w:t>
      </w:r>
    </w:p>
    <w:p>
      <w:pPr>
        <w:spacing w:before="132" w:line="222" w:lineRule="auto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十、绩效管理情况</w:t>
      </w:r>
    </w:p>
    <w:p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1、绩效管理情况</w:t>
      </w:r>
    </w:p>
    <w:p>
      <w:pPr>
        <w:spacing w:before="129" w:line="432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position w:val="13"/>
          <w:sz w:val="25"/>
          <w:szCs w:val="25"/>
        </w:rPr>
        <w:t>2023年朔州市中心血站单位实行绩效目标管理的项目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4个，涉及一般公共预算当</w:t>
      </w:r>
    </w:p>
    <w:p>
      <w:pPr>
        <w:spacing w:before="1" w:line="223" w:lineRule="auto"/>
        <w:ind w:left="13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年拨款64.9万元。</w:t>
      </w:r>
    </w:p>
    <w:p>
      <w:pPr>
        <w:spacing w:before="129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2、绩效目标情况（附表说明）</w:t>
      </w:r>
    </w:p>
    <w:p>
      <w:pPr>
        <w:spacing w:before="129" w:line="222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2023年实行绩效目标管理的项目4个，涉及一般公共预算当年拨款64.9万元。</w:t>
      </w:r>
    </w:p>
    <w:p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headerReference r:id="rId38" w:type="default"/>
          <w:footerReference r:id="rId39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33" o:spid="_x0000_s1033" o:spt="202" type="#_x0000_t202" style="position:absolute;left:0pt;margin-left:293.3pt;margin-top:827.85pt;height:7.45pt;width:15.55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pict>
          <v:shape id="_x0000_s1035" o:spid="_x0000_s1035" o:spt="136" type="#_x0000_t136" style="position:absolute;left:0pt;margin-left:391.9pt;margin-top:288.1pt;height:18.85pt;width:119.4pt;mso-position-horizontal-relative:page;mso-position-vertical-relative:page;rotation:-1966080f;z-index:251666432;mso-width-relative:page;mso-height-relative:page;" filled="f" stroked="f" coordsize="21600,21600" o:allowincell="f" adj="10800">
            <v:path/>
            <v:fill on="f" focussize="0,0"/>
            <v:stroke on="f"/>
            <v:imagedata o:title=""/>
            <o:lock v:ext="edit" aspectratio="f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8" o:spid="_x0000_s1038" o:spt="136" type="#_x0000_t136" style="position:absolute;left:0pt;margin-left:-13.05pt;margin-top:288.1pt;height:18.85pt;width:119.4pt;mso-position-horizontal-relative:page;mso-position-vertical-relative:page;rotation:-1966080f;z-index:251667456;mso-width-relative:page;mso-height-relative:page;" filled="f" stroked="f" coordsize="21600,21600" o:allowincell="f" adj="10800">
            <v:path/>
            <v:fill on="f" focussize="0,0"/>
            <v:stroke on="f"/>
            <v:imagedata o:title=""/>
            <o:lock v:ext="edit" aspectratio="f"/>
            <v:textpath on="t" fitshape="t" fitpath="t" trim="t" xscale="f" string="仅供内部审核" style="font-family:SimSun;font-size:8pt;v-text-align:center;"/>
          </v:shape>
        </w:pict>
      </w:r>
    </w:p>
    <w:p>
      <w:pPr>
        <w:spacing w:line="13455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r:id="rId40" w:type="default"/>
          <w:footerReference r:id="rId41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39" o:spid="_x0000_s1039" o:spt="202" type="#_x0000_t202" style="position:absolute;left:0pt;margin-left:293.3pt;margin-top:827.85pt;height:7.45pt;width:15.55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55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r:id="rId42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45" o:spid="_x0000_s1045" o:spt="202" type="#_x0000_t202" style="position:absolute;left:0pt;margin-left:293.3pt;margin-top:827.85pt;height:7.45pt;width:15.55pt;mso-position-horizontal-relative:page;mso-position-vertical-relative:page;z-index:25167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55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r:id="rId43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51" o:spid="_x0000_s1051" o:spt="202" type="#_x0000_t202" style="position:absolute;left:0pt;margin-left:293.3pt;margin-top:827.85pt;height:7.45pt;width:15.5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bookmarkStart w:id="1" w:name="_GoBack"/>
      <w:bookmarkEnd w:id="1"/>
    </w:p>
    <w:p>
      <w:pPr>
        <w:spacing w:line="13455" w:lineRule="exact"/>
        <w:ind w:firstLine="11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r:id="rId44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362" w:lineRule="auto"/>
      </w:pPr>
      <w:r>
        <w:pict>
          <v:shape id="_x0000_s1057" o:spid="_x0000_s1057" o:spt="202" type="#_x0000_t202" style="position:absolute;left:0pt;margin-left:293.3pt;margin-top:827.85pt;height:7.45pt;width:15.55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432" w:lineRule="exact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position w:val="13"/>
          <w:sz w:val="25"/>
          <w:szCs w:val="25"/>
        </w:rPr>
        <w:t>十一、国有资产占有使用情况</w:t>
      </w:r>
    </w:p>
    <w:p>
      <w:pPr>
        <w:spacing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>
      <w:pPr>
        <w:spacing w:before="276" w:line="577" w:lineRule="exact"/>
        <w:ind w:left="181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24"/>
          <w:sz w:val="25"/>
          <w:szCs w:val="25"/>
        </w:rPr>
        <w:t>共6辆车，6辆车都在使用，6辆车均为应</w:t>
      </w:r>
      <w:r>
        <w:rPr>
          <w:rFonts w:ascii="仿宋" w:hAnsi="仿宋" w:eastAsia="仿宋" w:cs="仿宋"/>
          <w:position w:val="24"/>
          <w:sz w:val="25"/>
          <w:szCs w:val="25"/>
        </w:rPr>
        <w:t>急保障用车。</w:t>
      </w:r>
    </w:p>
    <w:p>
      <w:pPr>
        <w:spacing w:before="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>
      <w:pPr>
        <w:spacing w:before="272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>
      <w:pPr>
        <w:spacing w:before="269"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>
      <w:pPr>
        <w:spacing w:before="273" w:line="224" w:lineRule="auto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通用设备227件，价值334.73万元；专用设备74件，价值662.45</w:t>
      </w:r>
      <w:r>
        <w:rPr>
          <w:rFonts w:ascii="仿宋" w:hAnsi="仿宋" w:eastAsia="仿宋" w:cs="仿宋"/>
          <w:sz w:val="25"/>
          <w:szCs w:val="25"/>
        </w:rPr>
        <w:t>万元。</w:t>
      </w:r>
    </w:p>
    <w:p>
      <w:pPr>
        <w:spacing w:before="273" w:line="222" w:lineRule="auto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>
      <w:pPr>
        <w:spacing w:before="131" w:line="577" w:lineRule="exact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-1"/>
          <w:position w:val="24"/>
          <w:sz w:val="25"/>
          <w:szCs w:val="25"/>
        </w:rPr>
        <w:t>（一）政府购买服务指导性目录</w:t>
      </w:r>
    </w:p>
    <w:p>
      <w:pPr>
        <w:spacing w:before="1" w:line="226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>
      <w:pPr>
        <w:spacing w:before="269" w:line="576" w:lineRule="exact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-4"/>
          <w:position w:val="24"/>
          <w:sz w:val="25"/>
          <w:szCs w:val="25"/>
        </w:rPr>
        <w:t>（二）其他</w:t>
      </w:r>
    </w:p>
    <w:p>
      <w:pPr>
        <w:spacing w:before="1" w:line="226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>
      <w:pPr>
        <w:spacing w:line="226" w:lineRule="auto"/>
        <w:rPr>
          <w:rFonts w:ascii="仿宋" w:hAnsi="仿宋" w:eastAsia="仿宋" w:cs="仿宋"/>
          <w:sz w:val="25"/>
          <w:szCs w:val="25"/>
        </w:rPr>
        <w:sectPr>
          <w:headerReference r:id="rId45" w:type="default"/>
          <w:footerReference r:id="rId46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58" o:spid="_x0000_s1058" o:spt="202" type="#_x0000_t202" style="position:absolute;left:0pt;margin-left:293.3pt;margin-top:827.85pt;height:7.45pt;width:15.55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r:id="rId47" w:type="default"/>
          <w:footerReference r:id="rId48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62" o:spid="_x0000_s1062" o:spt="202" type="#_x0000_t202" style="position:absolute;left:0pt;margin-left:293.3pt;margin-top:827.85pt;height:7.45pt;width:15.55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49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66" o:spid="_x0000_s1066" o:spt="202" type="#_x0000_t202" style="position:absolute;left:0pt;margin-left:293.3pt;margin-top:827.85pt;height:7.45pt;width:15.55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50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70" o:spid="_x0000_s1070" o:spt="202" type="#_x0000_t202" style="position:absolute;left:0pt;margin-left:293.3pt;margin-top:827.85pt;height:7.45pt;width:15.55pt;mso-position-horizontal-relative:page;mso-position-vertical-relative:page;z-index:251683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51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74" o:spid="_x0000_s1074" o:spt="202" type="#_x0000_t202" style="position:absolute;left:0pt;margin-left:293.3pt;margin-top:827.85pt;height:7.45pt;width:15.55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52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78" o:spid="_x0000_s1078" o:spt="202" type="#_x0000_t202" style="position:absolute;left:0pt;margin-left:293.3pt;margin-top:827.85pt;height:7.45pt;width:15.55pt;mso-position-horizontal-relative:page;mso-position-vertical-relative:page;z-index:25168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53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82" o:spid="_x0000_s1082" o:spt="202" type="#_x0000_t202" style="position:absolute;left:0pt;margin-left:293.3pt;margin-top:827.85pt;height:7.45pt;width:15.55pt;mso-position-horizontal-relative:page;mso-position-vertical-relative:page;z-index:251688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54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86" o:spid="_x0000_s1086" o:spt="202" type="#_x0000_t202" style="position:absolute;left:0pt;margin-left:293.3pt;margin-top:827.85pt;height:7.45pt;width:15.55pt;mso-position-horizontal-relative:page;mso-position-vertical-relative:page;z-index:251691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55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90" o:spid="_x0000_s1090" o:spt="202" type="#_x0000_t202" style="position:absolute;left:0pt;margin-left:293.3pt;margin-top:827.85pt;height:7.45pt;width:15.55pt;mso-position-horizontal-relative:page;mso-position-vertical-relative:page;z-index:25169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56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94" o:spid="_x0000_s1094" o:spt="202" type="#_x0000_t202" style="position:absolute;left:0pt;margin-left:293.3pt;margin-top:827.85pt;height:7.45pt;width:15.55pt;mso-position-horizontal-relative:page;mso-position-vertical-relative:page;z-index:251694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57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98" o:spid="_x0000_s1098" o:spt="202" type="#_x0000_t202" style="position:absolute;left:0pt;margin-left:293.3pt;margin-top:827.85pt;height:7.45pt;width:15.55pt;mso-position-horizontal-relative:page;mso-position-vertical-relative:page;z-index:251696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58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102" o:spid="_x0000_s1102" o:spt="202" type="#_x0000_t202" style="position:absolute;left:0pt;margin-left:293.3pt;margin-top:827.85pt;height:7.45pt;width:15.55pt;mso-position-horizontal-relative:page;mso-position-vertical-relative:page;z-index:251697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59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106" o:spid="_x0000_s1106" o:spt="202" type="#_x0000_t202" style="position:absolute;left:0pt;margin-left:293.3pt;margin-top:827.85pt;height:7.45pt;width:15.55pt;mso-position-horizontal-relative:page;mso-position-vertical-relative:page;z-index:251698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rPr>
          <w:rFonts w:hint="eastAsia" w:eastAsia="宋体"/>
          <w:lang w:val="en-US" w:eastAsia="zh-CN"/>
        </w:rPr>
        <w:t>x</w: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60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110" o:spid="_x0000_s1110" o:spt="202" type="#_x0000_t202" style="position:absolute;left:0pt;margin-left:293.3pt;margin-top:827.85pt;height:7.45pt;width:15.55pt;mso-position-horizontal-relative:page;mso-position-vertical-relative:page;z-index:251699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r:id="rId61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</w:pPr>
      <w:r>
        <w:pict>
          <v:shape id="_x0000_s1114" o:spid="_x0000_s1114" o:spt="202" type="#_x0000_t202" style="position:absolute;left:0pt;margin-left:293.3pt;margin-top:827.85pt;height:7.45pt;width:15.55pt;mso-position-horizontal-relative:page;mso-position-vertical-relative:page;z-index:251700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ectPr>
          <w:headerReference r:id="rId62" w:type="default"/>
          <w:footerReference r:id="rId63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115" o:spid="_x0000_s1115" o:spt="202" type="#_x0000_t202" style="position:absolute;left:0pt;margin-left:293.3pt;margin-top:827.85pt;height:7.45pt;width:15.55pt;mso-position-horizontal-relative:page;mso-position-vertical-relative:page;z-index:251701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1763" w:lineRule="exact"/>
        <w:ind w:firstLine="11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r:id="rId64" w:type="default"/>
          <w:footerReference r:id="rId65" w:type="default"/>
          <w:pgSz w:w="11900" w:h="16840"/>
          <w:pgMar w:top="610" w:right="86" w:bottom="312" w:left="0" w:header="359" w:footer="153" w:gutter="0"/>
          <w:cols w:space="720" w:num="1"/>
        </w:sectPr>
      </w:pPr>
    </w:p>
    <w:p>
      <w:pPr>
        <w:pStyle w:val="2"/>
        <w:spacing w:line="290" w:lineRule="auto"/>
      </w:pPr>
      <w:r>
        <w:pict>
          <v:shape id="_x0000_s1119" o:spid="_x0000_s1119" o:spt="202" type="#_x0000_t202" style="position:absolute;left:0pt;margin-left:293.3pt;margin-top:827.85pt;height:7.45pt;width:15.55pt;mso-position-horizontal-relative:page;mso-position-vertical-relative:page;z-index:251702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223" w:lineRule="auto"/>
        <w:ind w:left="487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>
      <w:pPr>
        <w:spacing w:before="202" w:line="432" w:lineRule="exact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position w:val="13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position w:val="13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成日常工作任务而发生的人员支出</w:t>
      </w:r>
    </w:p>
    <w:p>
      <w:pPr>
        <w:spacing w:line="224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>
      <w:pPr>
        <w:spacing w:before="127" w:line="433" w:lineRule="exact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position w:val="13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position w:val="13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定行政任务和事业发展目标所发生</w:t>
      </w:r>
    </w:p>
    <w:p>
      <w:pPr>
        <w:spacing w:line="225" w:lineRule="auto"/>
        <w:ind w:left="13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>
      <w:pPr>
        <w:spacing w:before="127" w:line="432" w:lineRule="exact"/>
        <w:ind w:left="18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position w:val="13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指省直部门用财政拨款安排的因公出国（境）费用、公务</w:t>
      </w:r>
    </w:p>
    <w:p>
      <w:pPr>
        <w:spacing w:line="221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>
      <w:pPr>
        <w:spacing w:before="130" w:line="432" w:lineRule="exact"/>
        <w:ind w:left="13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position w:val="13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position w:val="13"/>
          <w:sz w:val="25"/>
          <w:szCs w:val="25"/>
        </w:rPr>
        <w:t>）；</w:t>
      </w:r>
      <w:r>
        <w:rPr>
          <w:rFonts w:ascii="仿宋" w:hAnsi="仿宋" w:eastAsia="仿宋" w:cs="仿宋"/>
          <w:position w:val="13"/>
          <w:sz w:val="25"/>
          <w:szCs w:val="25"/>
        </w:rPr>
        <w:t>公务用车</w:t>
      </w:r>
    </w:p>
    <w:p>
      <w:pPr>
        <w:spacing w:line="221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运行维护费反映单位按规定保留的公务用车燃料费、维修费、过路过桥费、保险</w:t>
      </w:r>
    </w:p>
    <w:p>
      <w:pPr>
        <w:spacing w:before="133" w:line="432" w:lineRule="exact"/>
        <w:ind w:left="13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费、安全奖励费用等支出；公务接待费反映机关和参公事业单位按规定开支的各类</w:t>
      </w:r>
    </w:p>
    <w:p>
      <w:pPr>
        <w:spacing w:line="223" w:lineRule="auto"/>
        <w:ind w:left="13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>
      <w:pPr>
        <w:spacing w:before="130" w:line="432" w:lineRule="exact"/>
        <w:ind w:left="181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position w:val="13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指行政单位和参照公务员法管理的事业单位使用财政拨款</w:t>
      </w:r>
    </w:p>
    <w:p>
      <w:pPr>
        <w:spacing w:before="2" w:line="223" w:lineRule="auto"/>
        <w:ind w:left="13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>
      <w:pPr>
        <w:spacing w:before="128" w:line="433" w:lineRule="exact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position w:val="13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根据我国现行政策规定，政府购买服务，是指充分发挥市</w:t>
      </w:r>
    </w:p>
    <w:p>
      <w:pPr>
        <w:spacing w:before="1" w:line="221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>
      <w:pPr>
        <w:spacing w:before="131" w:line="433" w:lineRule="exact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项，按照政府采购方式和程序，交由符合条件的服务供应商承担，并根据服务数量</w:t>
      </w:r>
    </w:p>
    <w:p>
      <w:pPr>
        <w:spacing w:line="222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>
      <w:pPr>
        <w:spacing w:before="166" w:line="432" w:lineRule="exact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专指教育收费，包括目前在财政专户管理的高中以上学费、住宿费，高校委托</w:t>
      </w:r>
    </w:p>
    <w:p>
      <w:pPr>
        <w:spacing w:before="1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>
      <w:pPr>
        <w:spacing w:before="167" w:line="432" w:lineRule="exact"/>
        <w:ind w:left="18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position w:val="13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position w:val="13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金以外的资金，包括事</w:t>
      </w:r>
    </w:p>
    <w:p>
      <w:pPr>
        <w:spacing w:before="1" w:line="222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>
      <w:pPr>
        <w:spacing w:before="130" w:line="433" w:lineRule="exact"/>
        <w:ind w:left="180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position w:val="13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position w:val="13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按原规定用途继续使用的</w:t>
      </w:r>
    </w:p>
    <w:p>
      <w:pPr>
        <w:spacing w:line="225" w:lineRule="auto"/>
        <w:ind w:left="131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>
      <w:pPr>
        <w:spacing w:before="127" w:line="432" w:lineRule="exact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position w:val="13"/>
          <w:sz w:val="25"/>
          <w:szCs w:val="25"/>
        </w:rPr>
        <w:t>九、一般公共预算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是指以税收为主体的财政收入，安排用于保障和改善民生、</w:t>
      </w:r>
    </w:p>
    <w:p>
      <w:pPr>
        <w:spacing w:before="1" w:line="220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>
      <w:pPr>
        <w:spacing w:before="133" w:line="432" w:lineRule="exact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position w:val="13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position w:val="13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规的规定在一定期限内向特定对</w:t>
      </w:r>
    </w:p>
    <w:p>
      <w:pPr>
        <w:spacing w:before="1" w:line="223" w:lineRule="auto"/>
        <w:ind w:left="13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66" w:type="default"/>
      <w:footerReference r:id="rId67" w:type="default"/>
      <w:pgSz w:w="11900" w:h="16840"/>
      <w:pgMar w:top="610" w:right="86" w:bottom="312" w:left="0" w:header="359" w:footer="15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86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楷体"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6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3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40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953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41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952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z w:val="16"/>
        <w:szCs w:val="16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-9-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36" o:spid="_x0000_s2136" style="position:absolute;left:0pt;margin-left:30pt;margin-top:29.5pt;height:1pt;width:535pt;mso-position-horizontal-relative:page;mso-position-vertical-relative:page;z-index:-25163468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45" o:spid="_x0000_s2145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54" o:spid="_x0000_s2154" style="position:absolute;left:0pt;margin-left:30pt;margin-top:29.5pt;height:1pt;width:535pt;mso-position-horizontal-relative:page;mso-position-vertical-relative:page;z-index:-2516316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63" o:spid="_x0000_s2163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72" o:spid="_x0000_s2172" style="position:absolute;left:0pt;margin-left:30pt;margin-top:29.5pt;height:1pt;width:535pt;mso-position-horizontal-relative:page;mso-position-vertical-relative:page;z-index:-2516316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81" o:spid="_x0000_s2181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89" o:spid="_x0000_s2189" style="position:absolute;left:0pt;margin-left:30pt;margin-top:29.5pt;height:1pt;width:535pt;mso-position-horizontal-relative:page;mso-position-vertical-relative:page;z-index:-25162956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98" o:spid="_x0000_s2198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07" o:spid="_x0000_s2207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11" o:spid="_x0000_s2211" style="position:absolute;left:0pt;margin-left:30pt;margin-top:29.5pt;height:1pt;width:535pt;mso-position-horizontal-relative:page;mso-position-vertical-relative:page;z-index:-2516254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20" o:spid="_x0000_s2220" style="position:absolute;left:0pt;margin-left:30pt;margin-top:29.5pt;height:1pt;width:535pt;mso-position-horizontal-relative:page;mso-position-vertical-relative:page;z-index:-2516234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26" o:spid="_x0000_s2226" style="position:absolute;left:0pt;margin-left:30pt;margin-top:29.5pt;height:1pt;width:535pt;mso-position-horizontal-relative:page;mso-position-vertical-relative:page;z-index:-2516213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35" o:spid="_x0000_s2235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41" o:spid="_x0000_s2241" style="position:absolute;left:0pt;margin-left:30pt;margin-top:29.5pt;height:1pt;width:535pt;mso-position-horizontal-relative:page;mso-position-vertical-relative:page;z-index:-2516213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50" o:spid="_x0000_s2250" style="position:absolute;left:0pt;margin-left:30pt;margin-top:29.5pt;height:1pt;width:535pt;mso-position-horizontal-relative:page;mso-position-vertical-relative:page;z-index:-25163468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081" o:spid="_x0000_s2081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090" o:spid="_x0000_s2090" style="position:absolute;left:0pt;margin-left:30pt;margin-top:29.5pt;height:1pt;width:535pt;mso-position-horizontal-relative:page;mso-position-vertical-relative:page;z-index:-2516439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099" o:spid="_x0000_s2099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09" o:spid="_x0000_s2109" style="position:absolute;left:0pt;margin-left:30pt;margin-top:29.5pt;height:1pt;width:782pt;mso-position-horizontal-relative:page;mso-position-vertical-relative:page;z-index:-251638784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18" o:spid="_x0000_s2118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27" o:spid="_x0000_s2127" style="position:absolute;left:0pt;margin-left:30pt;margin-top:29.5pt;height:1pt;width:535pt;mso-position-horizontal-relative:page;mso-position-vertical-relative:page;z-index:-25163673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朔州市中心血站2023年单位预算公开报告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compat>
    <w:spaceForUL/>
    <w:ulTrailSpace/>
    <w:useFELayout/>
    <w:compatSetting w:name="compatibilityMode" w:uri="http://schemas.microsoft.com/office/word" w:val="14"/>
  </w:compat>
  <w:docVars>
    <w:docVar w:name="commondata" w:val="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1.png"/><Relationship Id="rId98" Type="http://schemas.openxmlformats.org/officeDocument/2006/relationships/image" Target="media/image30.png"/><Relationship Id="rId97" Type="http://schemas.openxmlformats.org/officeDocument/2006/relationships/image" Target="media/image29.png"/><Relationship Id="rId96" Type="http://schemas.openxmlformats.org/officeDocument/2006/relationships/image" Target="media/image28.png"/><Relationship Id="rId95" Type="http://schemas.openxmlformats.org/officeDocument/2006/relationships/image" Target="media/image27.png"/><Relationship Id="rId94" Type="http://schemas.openxmlformats.org/officeDocument/2006/relationships/image" Target="media/image26.png"/><Relationship Id="rId93" Type="http://schemas.openxmlformats.org/officeDocument/2006/relationships/image" Target="media/image25.png"/><Relationship Id="rId92" Type="http://schemas.openxmlformats.org/officeDocument/2006/relationships/image" Target="media/image24.png"/><Relationship Id="rId91" Type="http://schemas.openxmlformats.org/officeDocument/2006/relationships/image" Target="media/image23.png"/><Relationship Id="rId90" Type="http://schemas.openxmlformats.org/officeDocument/2006/relationships/image" Target="media/image22.png"/><Relationship Id="rId9" Type="http://schemas.openxmlformats.org/officeDocument/2006/relationships/footer" Target="footer2.xml"/><Relationship Id="rId89" Type="http://schemas.openxmlformats.org/officeDocument/2006/relationships/image" Target="media/image21.png"/><Relationship Id="rId88" Type="http://schemas.openxmlformats.org/officeDocument/2006/relationships/image" Target="media/image20.png"/><Relationship Id="rId87" Type="http://schemas.openxmlformats.org/officeDocument/2006/relationships/image" Target="media/image19.png"/><Relationship Id="rId86" Type="http://schemas.openxmlformats.org/officeDocument/2006/relationships/image" Target="media/image18.png"/><Relationship Id="rId85" Type="http://schemas.openxmlformats.org/officeDocument/2006/relationships/image" Target="media/image17.png"/><Relationship Id="rId84" Type="http://schemas.openxmlformats.org/officeDocument/2006/relationships/image" Target="media/image16.png"/><Relationship Id="rId83" Type="http://schemas.openxmlformats.org/officeDocument/2006/relationships/image" Target="media/image15.png"/><Relationship Id="rId82" Type="http://schemas.openxmlformats.org/officeDocument/2006/relationships/image" Target="media/image14.png"/><Relationship Id="rId81" Type="http://schemas.openxmlformats.org/officeDocument/2006/relationships/image" Target="media/image13.png"/><Relationship Id="rId80" Type="http://schemas.openxmlformats.org/officeDocument/2006/relationships/image" Target="media/image12.png"/><Relationship Id="rId8" Type="http://schemas.openxmlformats.org/officeDocument/2006/relationships/header" Target="header5.xml"/><Relationship Id="rId79" Type="http://schemas.openxmlformats.org/officeDocument/2006/relationships/image" Target="media/image11.png"/><Relationship Id="rId78" Type="http://schemas.openxmlformats.org/officeDocument/2006/relationships/image" Target="media/image10.png"/><Relationship Id="rId77" Type="http://schemas.openxmlformats.org/officeDocument/2006/relationships/image" Target="media/image9.png"/><Relationship Id="rId76" Type="http://schemas.openxmlformats.org/officeDocument/2006/relationships/image" Target="media/image8.png"/><Relationship Id="rId75" Type="http://schemas.openxmlformats.org/officeDocument/2006/relationships/image" Target="media/image7.png"/><Relationship Id="rId74" Type="http://schemas.openxmlformats.org/officeDocument/2006/relationships/image" Target="media/image6.png"/><Relationship Id="rId73" Type="http://schemas.openxmlformats.org/officeDocument/2006/relationships/image" Target="media/image5.png"/><Relationship Id="rId72" Type="http://schemas.openxmlformats.org/officeDocument/2006/relationships/image" Target="media/image4.png"/><Relationship Id="rId71" Type="http://schemas.openxmlformats.org/officeDocument/2006/relationships/image" Target="media/image3.png"/><Relationship Id="rId70" Type="http://schemas.openxmlformats.org/officeDocument/2006/relationships/image" Target="media/image2.png"/><Relationship Id="rId7" Type="http://schemas.openxmlformats.org/officeDocument/2006/relationships/footer" Target="footer1.xml"/><Relationship Id="rId69" Type="http://schemas.openxmlformats.org/officeDocument/2006/relationships/image" Target="media/image1.png"/><Relationship Id="rId68" Type="http://schemas.openxmlformats.org/officeDocument/2006/relationships/theme" Target="theme/theme1.xml"/><Relationship Id="rId67" Type="http://schemas.openxmlformats.org/officeDocument/2006/relationships/footer" Target="footer41.xml"/><Relationship Id="rId66" Type="http://schemas.openxmlformats.org/officeDocument/2006/relationships/header" Target="header24.xml"/><Relationship Id="rId65" Type="http://schemas.openxmlformats.org/officeDocument/2006/relationships/footer" Target="footer40.xml"/><Relationship Id="rId64" Type="http://schemas.openxmlformats.org/officeDocument/2006/relationships/header" Target="header23.xml"/><Relationship Id="rId63" Type="http://schemas.openxmlformats.org/officeDocument/2006/relationships/footer" Target="footer39.xml"/><Relationship Id="rId62" Type="http://schemas.openxmlformats.org/officeDocument/2006/relationships/header" Target="header22.xml"/><Relationship Id="rId61" Type="http://schemas.openxmlformats.org/officeDocument/2006/relationships/footer" Target="footer38.xml"/><Relationship Id="rId60" Type="http://schemas.openxmlformats.org/officeDocument/2006/relationships/footer" Target="footer37.xml"/><Relationship Id="rId6" Type="http://schemas.openxmlformats.org/officeDocument/2006/relationships/header" Target="header4.xml"/><Relationship Id="rId59" Type="http://schemas.openxmlformats.org/officeDocument/2006/relationships/footer" Target="footer36.xml"/><Relationship Id="rId58" Type="http://schemas.openxmlformats.org/officeDocument/2006/relationships/footer" Target="footer35.xml"/><Relationship Id="rId57" Type="http://schemas.openxmlformats.org/officeDocument/2006/relationships/footer" Target="footer34.xml"/><Relationship Id="rId56" Type="http://schemas.openxmlformats.org/officeDocument/2006/relationships/footer" Target="footer33.xml"/><Relationship Id="rId55" Type="http://schemas.openxmlformats.org/officeDocument/2006/relationships/footer" Target="footer32.xml"/><Relationship Id="rId54" Type="http://schemas.openxmlformats.org/officeDocument/2006/relationships/footer" Target="footer31.xml"/><Relationship Id="rId53" Type="http://schemas.openxmlformats.org/officeDocument/2006/relationships/footer" Target="footer30.xml"/><Relationship Id="rId52" Type="http://schemas.openxmlformats.org/officeDocument/2006/relationships/footer" Target="footer29.xml"/><Relationship Id="rId51" Type="http://schemas.openxmlformats.org/officeDocument/2006/relationships/footer" Target="footer28.xml"/><Relationship Id="rId50" Type="http://schemas.openxmlformats.org/officeDocument/2006/relationships/footer" Target="footer27.xml"/><Relationship Id="rId5" Type="http://schemas.openxmlformats.org/officeDocument/2006/relationships/header" Target="header3.xml"/><Relationship Id="rId49" Type="http://schemas.openxmlformats.org/officeDocument/2006/relationships/footer" Target="footer26.xml"/><Relationship Id="rId48" Type="http://schemas.openxmlformats.org/officeDocument/2006/relationships/footer" Target="footer25.xml"/><Relationship Id="rId47" Type="http://schemas.openxmlformats.org/officeDocument/2006/relationships/header" Target="header21.xml"/><Relationship Id="rId46" Type="http://schemas.openxmlformats.org/officeDocument/2006/relationships/footer" Target="footer24.xml"/><Relationship Id="rId45" Type="http://schemas.openxmlformats.org/officeDocument/2006/relationships/header" Target="header20.xml"/><Relationship Id="rId44" Type="http://schemas.openxmlformats.org/officeDocument/2006/relationships/footer" Target="footer23.xml"/><Relationship Id="rId43" Type="http://schemas.openxmlformats.org/officeDocument/2006/relationships/footer" Target="footer22.xml"/><Relationship Id="rId42" Type="http://schemas.openxmlformats.org/officeDocument/2006/relationships/footer" Target="footer21.xml"/><Relationship Id="rId41" Type="http://schemas.openxmlformats.org/officeDocument/2006/relationships/footer" Target="footer20.xml"/><Relationship Id="rId40" Type="http://schemas.openxmlformats.org/officeDocument/2006/relationships/header" Target="header19.xml"/><Relationship Id="rId4" Type="http://schemas.openxmlformats.org/officeDocument/2006/relationships/header" Target="header2.xml"/><Relationship Id="rId39" Type="http://schemas.openxmlformats.org/officeDocument/2006/relationships/footer" Target="footer19.xml"/><Relationship Id="rId38" Type="http://schemas.openxmlformats.org/officeDocument/2006/relationships/header" Target="header18.xml"/><Relationship Id="rId37" Type="http://schemas.openxmlformats.org/officeDocument/2006/relationships/footer" Target="footer18.xml"/><Relationship Id="rId36" Type="http://schemas.openxmlformats.org/officeDocument/2006/relationships/header" Target="header17.xml"/><Relationship Id="rId35" Type="http://schemas.openxmlformats.org/officeDocument/2006/relationships/footer" Target="footer17.xml"/><Relationship Id="rId34" Type="http://schemas.openxmlformats.org/officeDocument/2006/relationships/header" Target="header16.xml"/><Relationship Id="rId33" Type="http://schemas.openxmlformats.org/officeDocument/2006/relationships/footer" Target="footer16.xml"/><Relationship Id="rId32" Type="http://schemas.openxmlformats.org/officeDocument/2006/relationships/footer" Target="footer15.xml"/><Relationship Id="rId31" Type="http://schemas.openxmlformats.org/officeDocument/2006/relationships/footer" Target="footer14.xml"/><Relationship Id="rId30" Type="http://schemas.openxmlformats.org/officeDocument/2006/relationships/header" Target="header15.xml"/><Relationship Id="rId3" Type="http://schemas.openxmlformats.org/officeDocument/2006/relationships/header" Target="header1.xml"/><Relationship Id="rId29" Type="http://schemas.openxmlformats.org/officeDocument/2006/relationships/footer" Target="footer13.xml"/><Relationship Id="rId28" Type="http://schemas.openxmlformats.org/officeDocument/2006/relationships/footer" Target="footer12.xml"/><Relationship Id="rId27" Type="http://schemas.openxmlformats.org/officeDocument/2006/relationships/header" Target="header14.xml"/><Relationship Id="rId26" Type="http://schemas.openxmlformats.org/officeDocument/2006/relationships/footer" Target="footer11.xml"/><Relationship Id="rId25" Type="http://schemas.openxmlformats.org/officeDocument/2006/relationships/footer" Target="footer10.xml"/><Relationship Id="rId24" Type="http://schemas.openxmlformats.org/officeDocument/2006/relationships/header" Target="header13.xml"/><Relationship Id="rId23" Type="http://schemas.openxmlformats.org/officeDocument/2006/relationships/footer" Target="footer9.xml"/><Relationship Id="rId22" Type="http://schemas.openxmlformats.org/officeDocument/2006/relationships/header" Target="header12.xml"/><Relationship Id="rId21" Type="http://schemas.openxmlformats.org/officeDocument/2006/relationships/footer" Target="footer8.xml"/><Relationship Id="rId20" Type="http://schemas.openxmlformats.org/officeDocument/2006/relationships/header" Target="header11.xml"/><Relationship Id="rId2" Type="http://schemas.openxmlformats.org/officeDocument/2006/relationships/settings" Target="settings.xml"/><Relationship Id="rId19" Type="http://schemas.openxmlformats.org/officeDocument/2006/relationships/footer" Target="footer7.xml"/><Relationship Id="rId18" Type="http://schemas.openxmlformats.org/officeDocument/2006/relationships/header" Target="header10.xml"/><Relationship Id="rId17" Type="http://schemas.openxmlformats.org/officeDocument/2006/relationships/footer" Target="footer6.xml"/><Relationship Id="rId16" Type="http://schemas.openxmlformats.org/officeDocument/2006/relationships/header" Target="header9.xml"/><Relationship Id="rId15" Type="http://schemas.openxmlformats.org/officeDocument/2006/relationships/footer" Target="footer5.xml"/><Relationship Id="rId14" Type="http://schemas.openxmlformats.org/officeDocument/2006/relationships/header" Target="header8.xml"/><Relationship Id="rId13" Type="http://schemas.openxmlformats.org/officeDocument/2006/relationships/footer" Target="footer4.xml"/><Relationship Id="rId120" Type="http://schemas.openxmlformats.org/officeDocument/2006/relationships/fontTable" Target="fontTable.xml"/><Relationship Id="rId12" Type="http://schemas.openxmlformats.org/officeDocument/2006/relationships/header" Target="header7.xml"/><Relationship Id="rId119" Type="http://schemas.openxmlformats.org/officeDocument/2006/relationships/customXml" Target="../customXml/item1.xml"/><Relationship Id="rId118" Type="http://schemas.openxmlformats.org/officeDocument/2006/relationships/image" Target="media/image50.jpeg"/><Relationship Id="rId117" Type="http://schemas.openxmlformats.org/officeDocument/2006/relationships/image" Target="media/image49.jpeg"/><Relationship Id="rId116" Type="http://schemas.openxmlformats.org/officeDocument/2006/relationships/image" Target="media/image48.jpeg"/><Relationship Id="rId115" Type="http://schemas.openxmlformats.org/officeDocument/2006/relationships/image" Target="media/image47.jpeg"/><Relationship Id="rId114" Type="http://schemas.openxmlformats.org/officeDocument/2006/relationships/image" Target="media/image46.jpeg"/><Relationship Id="rId113" Type="http://schemas.openxmlformats.org/officeDocument/2006/relationships/image" Target="media/image45.jpeg"/><Relationship Id="rId112" Type="http://schemas.openxmlformats.org/officeDocument/2006/relationships/image" Target="media/image44.jpeg"/><Relationship Id="rId111" Type="http://schemas.openxmlformats.org/officeDocument/2006/relationships/image" Target="media/image43.jpeg"/><Relationship Id="rId110" Type="http://schemas.openxmlformats.org/officeDocument/2006/relationships/image" Target="media/image42.jpeg"/><Relationship Id="rId11" Type="http://schemas.openxmlformats.org/officeDocument/2006/relationships/footer" Target="footer3.xml"/><Relationship Id="rId109" Type="http://schemas.openxmlformats.org/officeDocument/2006/relationships/image" Target="media/image41.jpeg"/><Relationship Id="rId108" Type="http://schemas.openxmlformats.org/officeDocument/2006/relationships/image" Target="media/image40.jpeg"/><Relationship Id="rId107" Type="http://schemas.openxmlformats.org/officeDocument/2006/relationships/image" Target="media/image39.jpeg"/><Relationship Id="rId106" Type="http://schemas.openxmlformats.org/officeDocument/2006/relationships/image" Target="media/image38.jpeg"/><Relationship Id="rId105" Type="http://schemas.openxmlformats.org/officeDocument/2006/relationships/image" Target="media/image37.jpeg"/><Relationship Id="rId104" Type="http://schemas.openxmlformats.org/officeDocument/2006/relationships/image" Target="media/image36.jpeg"/><Relationship Id="rId103" Type="http://schemas.openxmlformats.org/officeDocument/2006/relationships/image" Target="media/image35.jpeg"/><Relationship Id="rId102" Type="http://schemas.openxmlformats.org/officeDocument/2006/relationships/image" Target="media/image34.jpeg"/><Relationship Id="rId101" Type="http://schemas.openxmlformats.org/officeDocument/2006/relationships/image" Target="media/image33.jpeg"/><Relationship Id="rId100" Type="http://schemas.openxmlformats.org/officeDocument/2006/relationships/image" Target="media/image32.jpeg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81"/>
    <customShpInfo spid="_x0000_s2090"/>
    <customShpInfo spid="_x0000_s2099"/>
    <customShpInfo spid="_x0000_s2109"/>
    <customShpInfo spid="_x0000_s2118"/>
    <customShpInfo spid="_x0000_s2127"/>
    <customShpInfo spid="_x0000_s2136"/>
    <customShpInfo spid="_x0000_s2145"/>
    <customShpInfo spid="_x0000_s2154"/>
    <customShpInfo spid="_x0000_s2163"/>
    <customShpInfo spid="_x0000_s2172"/>
    <customShpInfo spid="_x0000_s2181"/>
    <customShpInfo spid="_x0000_s2189"/>
    <customShpInfo spid="_x0000_s2198"/>
    <customShpInfo spid="_x0000_s2207"/>
    <customShpInfo spid="_x0000_s2211"/>
    <customShpInfo spid="_x0000_s2220"/>
    <customShpInfo spid="_x0000_s2226"/>
    <customShpInfo spid="_x0000_s2235"/>
    <customShpInfo spid="_x0000_s2241"/>
    <customShpInfo spid="_x0000_s2250"/>
    <customShpInfo spid="_x0000_s1026"/>
    <customShpInfo spid="_x0000_s1027"/>
    <customShpInfo spid="_x0000_s1028"/>
    <customShpInfo spid="_x0000_s1029"/>
    <customShpInfo spid="_x0000_s1031"/>
    <customShpInfo spid="_x0000_s1032"/>
    <customShpInfo spid="_x0000_s1033"/>
    <customShpInfo spid="_x0000_s1035"/>
    <customShpInfo spid="_x0000_s1038"/>
    <customShpInfo spid="_x0000_s1039"/>
    <customShpInfo spid="_x0000_s1045"/>
    <customShpInfo spid="_x0000_s1051"/>
    <customShpInfo spid="_x0000_s1057"/>
    <customShpInfo spid="_x0000_s1058"/>
    <customShpInfo spid="_x0000_s1062"/>
    <customShpInfo spid="_x0000_s1066"/>
    <customShpInfo spid="_x0000_s1070"/>
    <customShpInfo spid="_x0000_s1074"/>
    <customShpInfo spid="_x0000_s1078"/>
    <customShpInfo spid="_x0000_s1082"/>
    <customShpInfo spid="_x0000_s1086"/>
    <customShpInfo spid="_x0000_s1090"/>
    <customShpInfo spid="_x0000_s1094"/>
    <customShpInfo spid="_x0000_s1098"/>
    <customShpInfo spid="_x0000_s1102"/>
    <customShpInfo spid="_x0000_s1106"/>
    <customShpInfo spid="_x0000_s1110"/>
    <customShpInfo spid="_x0000_s1114"/>
    <customShpInfo spid="_x0000_s1115"/>
    <customShpInfo spid="_x0000_s111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44</Pages>
  <Words>4795</Words>
  <Characters>5668</Characters>
  <Lines>0</Lines>
  <Paragraphs>0</Paragraphs>
  <TotalTime>0</TotalTime>
  <ScaleCrop>false</ScaleCrop>
  <LinksUpToDate>false</LinksUpToDate>
  <CharactersWithSpaces>5808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2023-04-28T19:33:00Z</dcterms:created>
  <dc:creator>HZ</dc:creator>
  <cp:lastModifiedBy>iPhone</cp:lastModifiedBy>
  <dcterms:modified xsi:type="dcterms:W3CDTF">2023-05-05T22:32:19Z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2023-05-05T18:02:00Z</vt:filetime>
  </property>
  <property fmtid="{D5CDD505-2E9C-101B-9397-08002B2CF9AE}" pid="4" name="UsrData">
    <vt:lpwstr>6454d43523b18500159121a9</vt:lpwstr>
  </property>
  <property fmtid="{D5CDD505-2E9C-101B-9397-08002B2CF9AE}" pid="5" name="KSOProductBuildVer">
    <vt:lpwstr>2052-11.36.2</vt:lpwstr>
  </property>
  <property fmtid="{D5CDD505-2E9C-101B-9397-08002B2CF9AE}" pid="6" name="ICV">
    <vt:lpwstr>78149EE72A5FA83C731355640AF0A15E_33</vt:lpwstr>
  </property>
</Properties>
</file>