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方正小标宋简体"/>
          <w:b w:val="0"/>
          <w:bCs/>
          <w:i w:val="0"/>
          <w:snapToGrid/>
          <w:color w:val="333333"/>
          <w:sz w:val="32"/>
          <w:szCs w:val="44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i w:val="0"/>
          <w:snapToGrid/>
          <w:color w:val="333333"/>
          <w:sz w:val="32"/>
          <w:szCs w:val="44"/>
          <w:lang w:val="en" w:eastAsia="zh-CN"/>
        </w:rPr>
        <w:t>附</w:t>
      </w:r>
      <w:r>
        <w:rPr>
          <w:rFonts w:hint="default" w:ascii="黑体" w:hAnsi="黑体" w:eastAsia="黑体" w:cs="黑体"/>
          <w:b w:val="0"/>
          <w:bCs/>
          <w:i w:val="0"/>
          <w:snapToGrid/>
          <w:color w:val="333333"/>
          <w:sz w:val="32"/>
          <w:szCs w:val="44"/>
          <w:lang w:val="en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i w:val="0"/>
          <w:snapToGrid/>
          <w:color w:val="333333"/>
          <w:sz w:val="32"/>
          <w:szCs w:val="44"/>
          <w:lang w:val="en" w:eastAsia="zh-CN"/>
        </w:rPr>
        <w:t>件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/>
          <w:lang w:eastAsia="zh-CN"/>
        </w:rPr>
      </w:pPr>
      <w:bookmarkStart w:id="0" w:name="_GoBack"/>
      <w:r>
        <w:rPr>
          <w:rFonts w:hint="eastAsia" w:ascii="CESI小标宋-GB2312" w:hAnsi="CESI小标宋-GB2312" w:eastAsia="CESI小标宋-GB2312" w:cs="CESI小标宋-GB2312"/>
          <w:b w:val="0"/>
          <w:bCs/>
          <w:lang w:val="en-US" w:eastAsia="zh-CN"/>
        </w:rPr>
        <w:t>山西</w:t>
      </w:r>
      <w:r>
        <w:rPr>
          <w:rFonts w:hint="eastAsia" w:ascii="CESI小标宋-GB2312" w:hAnsi="CESI小标宋-GB2312" w:eastAsia="CESI小标宋-GB2312" w:cs="CESI小标宋-GB2312"/>
          <w:b w:val="0"/>
          <w:bCs/>
          <w:lang w:eastAsia="zh-CN"/>
        </w:rPr>
        <w:t>省提升科技成果转移转化服务行动方案</w:t>
      </w:r>
    </w:p>
    <w:bookmarkEnd w:id="0"/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为深入实施创新驱动发展战略，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推动建设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功能完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运行高效、市场化的科技成果转移转化体系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，提升企业、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高校和科研院所科技成果转移转化能力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推动科技成果转移转化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促进科技服务业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提质增效，制定本方案。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left"/>
        <w:textAlignment w:val="auto"/>
        <w:rPr>
          <w:sz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一、总体要求及目标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全面贯彻落实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全省服务业提质增效推进大会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部署要求，以促进科技与经济紧密结合为主线，着眼充分发挥市场配置资源的决定性作用，完善科技成果转移转化政策环境，强化技术、资本、人才、服务等创新资源的深度融合，以提升科技成果转移转化促进科技服务业提质增效，为我省全方位推动高质量发展提供有力的科技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力争在2022年底，省级科技成果转化示范基地达到10家左右，省级科技成果转化示范企业达65家以上，开展技术经纪人培训150人以上，新认定省级众创空间、省级科技企业孵化器40家，认定高新技术企业1000家，新建10个以上中试基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二、主要行动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深化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科技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成果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转移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转化体制机制改革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1.完善科技创新资源配置方式。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坚持目标引领，强化成果转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化导向，持续推进科研项目立项和组织实施方式改革，以战略性新兴产业和我省重点支柱产业的技术创新需求为导向，以攻克关键核心技术“卡脖子”问题为目标，持续凝练重大科研攻关项目清单，采取“揭榜招标”“赛马制”等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</w:rPr>
        <w:t>集聚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国内外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</w:rPr>
        <w:t>创新资源，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着力突破一批关键核心技术和共性技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术，努力形成一批标志性重大科技成果，促进科技与经济深度融合。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2.完善科技成果评价机制。</w:t>
      </w:r>
      <w:r>
        <w:rPr>
          <w:rFonts w:hint="eastAsia" w:ascii="仿宋_GB2312" w:hAnsi="仿宋_GB2312" w:eastAsia="仿宋_GB2312"/>
          <w:sz w:val="32"/>
        </w:rPr>
        <w:t>充分发挥科技成果评价的“指挥棒”作用，坚持以质量、绩效、贡献为核心的评价导向</w:t>
      </w:r>
      <w:r>
        <w:rPr>
          <w:rFonts w:hint="eastAsia" w:hAnsi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</w:rPr>
        <w:t>全面准确评价科技成果的科学、技术、经济、社会、文化价值</w:t>
      </w:r>
      <w:r>
        <w:rPr>
          <w:rFonts w:hint="eastAsia" w:hAnsi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/>
          <w:sz w:val="32"/>
        </w:rPr>
        <w:t>根据科技成果的不同特点和评价目的，</w:t>
      </w:r>
      <w:r>
        <w:rPr>
          <w:rFonts w:hint="eastAsia" w:hAnsi="仿宋_GB2312"/>
          <w:sz w:val="32"/>
          <w:lang w:val="en-US" w:eastAsia="zh-CN"/>
        </w:rPr>
        <w:t>区分</w:t>
      </w:r>
      <w:r>
        <w:rPr>
          <w:rFonts w:hint="eastAsia" w:ascii="仿宋_GB2312" w:hAnsi="仿宋_GB2312" w:eastAsia="仿宋_GB2312"/>
          <w:sz w:val="32"/>
        </w:rPr>
        <w:t>基础研究、应用研究、技术开发和产业化、科技战略研究</w:t>
      </w:r>
      <w:r>
        <w:rPr>
          <w:rFonts w:hint="eastAsia" w:hAnsi="仿宋_GB2312"/>
          <w:sz w:val="32"/>
          <w:lang w:val="en-US" w:eastAsia="zh-CN"/>
        </w:rPr>
        <w:t>等分类</w:t>
      </w:r>
      <w:r>
        <w:rPr>
          <w:rFonts w:hint="eastAsia" w:ascii="仿宋_GB2312" w:hAnsi="仿宋_GB2312" w:eastAsia="仿宋_GB2312"/>
          <w:sz w:val="32"/>
        </w:rPr>
        <w:t>制定成果评价</w:t>
      </w:r>
      <w:r>
        <w:rPr>
          <w:rFonts w:hint="eastAsia" w:hAnsi="仿宋_GB2312"/>
          <w:sz w:val="32"/>
          <w:lang w:val="en-US" w:eastAsia="zh-CN"/>
        </w:rPr>
        <w:t>指标体系，</w:t>
      </w:r>
      <w:r>
        <w:rPr>
          <w:rFonts w:hint="eastAsia" w:ascii="仿宋_GB2312" w:hAnsi="仿宋_GB2312" w:eastAsia="仿宋_GB2312"/>
          <w:sz w:val="32"/>
        </w:rPr>
        <w:t>进一步健全我省科技成果评价体系，完善科技成果评价机制，加快推动科技成果转化为现实生产力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3.激发科研人员内生动力。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鼓励</w:t>
      </w:r>
      <w:r>
        <w:rPr>
          <w:rFonts w:hint="eastAsia" w:hAnsi="仿宋_GB2312" w:cs="仿宋_GB2312"/>
          <w:color w:val="000000"/>
          <w:kern w:val="0"/>
          <w:sz w:val="32"/>
          <w:szCs w:val="32"/>
          <w:lang w:val="en-US" w:eastAsia="zh-CN"/>
        </w:rPr>
        <w:t>激励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科研人员创新创业，</w:t>
      </w:r>
      <w:r>
        <w:rPr>
          <w:rFonts w:hint="eastAsia" w:ascii="仿宋_GB2312" w:hAnsi="仿宋_GB2312" w:eastAsia="仿宋_GB2312"/>
          <w:sz w:val="32"/>
          <w:lang w:val="en-US" w:eastAsia="zh-CN"/>
        </w:rPr>
        <w:t>选定山西大学、太原理工大学、太原科技大学和山西农业大学等4所</w:t>
      </w:r>
      <w:r>
        <w:rPr>
          <w:rFonts w:hint="eastAsia" w:ascii="仿宋_GB2312" w:hAnsi="仿宋_GB2312" w:eastAsia="仿宋_GB2312"/>
          <w:sz w:val="32"/>
        </w:rPr>
        <w:t>省属高校作为试点单位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</w:rPr>
        <w:t>探索开展赋予科研人员职务科技成果所有权或长期使用权试点工作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</w:rPr>
        <w:t>形成可复制</w:t>
      </w:r>
      <w:r>
        <w:rPr>
          <w:rFonts w:hint="eastAsia" w:ascii="仿宋_GB2312" w:hAnsi="仿宋_GB2312" w:eastAsia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</w:rPr>
        <w:t>可推广的经验和做法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，切实激发科技成果转化互利共赢理念，形成激励科研人员敢为、愿为的创新氛围。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（二）完善成果转化服务链条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4.建立省、市、县科技成果转化对接机制。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持续落实好国家和省科技成果转化“三部曲”，推动科技成果使用、处置和收益权“三权下放”。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健全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县科技成果转化对接机制，建设覆盖所有县、市、区的科技成果转化服务体系。以高校与企业共建产业技术研究院为契机，探索推动建立校企合作深度融合协同机制。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5.推进科技成果线上与线下交易有机融合。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重点提升山西科技成果转化与知识产权交易服务平台服务</w:t>
      </w:r>
      <w:r>
        <w:rPr>
          <w:rFonts w:hint="eastAsia" w:hAnsi="仿宋_GB2312" w:cs="仿宋_GB2312"/>
          <w:color w:val="000000"/>
          <w:kern w:val="0"/>
          <w:sz w:val="32"/>
          <w:szCs w:val="32"/>
          <w:lang w:val="en-US" w:eastAsia="zh-CN"/>
        </w:rPr>
        <w:t>能力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进一步扩大平台服务范围，完善平台功能，强化平台服务职能，推进科技成果线上与线下交易有机融合，打造全省域科技成果转化的示范工程和服务中枢，着力解决科技成果转移转化中信息不对称的问题，充分发挥服务平台的“科技红娘”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6.打造科技成果转移转化集聚区。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充分发挥省级科技成果转化示范基地和示范企业的带动作用，在大学科技园、各类产业园区（开发区）中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培育科技成果转化基地，提升跨区域成果、人才、资本、服务等创新资源整合能力，构筑科研成果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转移转化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高地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。聚焦我省重点产业和领域，高质量布局建设科技成果转化示范基地，促进符合产业转型发展需求的重大科技成果转化落地。高质量布局建设高校科技成果转化基地，推动省外高校优秀科技成果在我省落地转化。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（三）提升科技中介服务能力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7.强化培育技术转移服务机构。</w:t>
      </w:r>
      <w:r>
        <w:rPr>
          <w:rFonts w:hint="eastAsia" w:ascii="仿宋_GB2312" w:hAnsi="仿宋_GB2312" w:eastAsia="仿宋_GB2312"/>
          <w:sz w:val="32"/>
        </w:rPr>
        <w:t>加强</w:t>
      </w:r>
      <w:r>
        <w:rPr>
          <w:rFonts w:hint="eastAsia" w:ascii="仿宋_GB2312" w:hAnsi="仿宋_GB2312" w:eastAsia="仿宋_GB2312"/>
          <w:sz w:val="32"/>
          <w:lang w:val="en-US" w:eastAsia="zh-CN"/>
        </w:rPr>
        <w:t>省级</w:t>
      </w:r>
      <w:r>
        <w:rPr>
          <w:rFonts w:hint="eastAsia" w:ascii="仿宋_GB2312" w:hAnsi="仿宋_GB2312" w:eastAsia="仿宋_GB2312"/>
          <w:sz w:val="32"/>
        </w:rPr>
        <w:t>技术转移机构的培育和认定，持续推动我省技术转移机构专业化、市场化、规范化发展，引导激励高等院校、科研机构和企业设立技术转移专职机构</w:t>
      </w:r>
      <w:r>
        <w:rPr>
          <w:rFonts w:hint="eastAsia" w:ascii="仿宋_GB2312" w:hAnsi="仿宋_GB2312" w:eastAsia="仿宋_GB2312"/>
          <w:sz w:val="32"/>
          <w:lang w:val="en-US" w:eastAsia="zh-CN"/>
        </w:rPr>
        <w:t>。依托国家级技术转移示范机构，努力探索和完善技术转移体系和技术转移的有效运行机制，推动重大科技成果转移转化。引导有条件的高校、科研院所和企业建立健全专业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化科技成果转移转化机构,加强市场化运营能力。强化创新创业载体培育，引导众创空间和孵化器向专业化、精细化方向升级，提供专业化孵化服务。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8.培育建设专业化市场化技术转移队伍。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完善多层次的技术转移人才发展机制，依托国家技术转移人才培养基地（山西），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培育科技成果转化中介服务机构和技术经纪人、技术经理人队伍，对高校科研院所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科研人员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开展技术经纪、技术转移、技术贸易、技术营销知识培训</w:t>
      </w:r>
      <w:r>
        <w:rPr>
          <w:rFonts w:hint="eastAsia" w:hAnsi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着力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科研人员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的科技成果转移转化专业知识和技能水平</w:t>
      </w:r>
      <w:r>
        <w:rPr>
          <w:rFonts w:hint="eastAsia" w:hAnsi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鼓励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科研人员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兼职开展科技成果转化转移活动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自行转化本人研发科技成果。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9.培育技术交易市场。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强化技术市场法律法规政策的宣传力度，进行相关业务知识的培训，积极组织技术转移示范机构等开展对接、展示、推介等活动，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优化技术市场交易服务，着力提高办结效率，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促进技术交易。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健全与全国技术交易网络互联互通机制，集聚成果、资金、人才、服务、政策等创新要素，努力培育功能完善、辐射作用强、线上线下相结合的全省技术交易市场。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三、保障措施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(一)加强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统筹协调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强化上下衔接、省市协同,加强重点任务推进落实，充分发挥市场配置资源的决定性作用，形成共同推进科技成果转移转化的合力。强化政策支持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和条件保障力度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，提出可操作、能落实的细化举措，</w:t>
      </w:r>
      <w:r>
        <w:rPr>
          <w:rFonts w:hint="eastAsia" w:ascii="仿宋_GB2312" w:hAnsi="仿宋_GB2312" w:eastAsia="仿宋_GB2312" w:cs="仿宋_GB2312"/>
          <w:sz w:val="32"/>
          <w:szCs w:val="32"/>
        </w:rPr>
        <w:t>着力保障各项政策措施有效落实。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(二)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落实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资金保障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围绕科技成果中试、推广等薄弱环节，加大资金保障力度。鼓励企业提高科技创新投入，推动省属企业带头示范。用好与国家自然科学基金委共建的区域联合基金，以及省级层面的太行基金、晋创投资基金、综改区科创基金等政府引导基金，对成果转化项目及时跟进支持服务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textAlignment w:val="auto"/>
        <w:rPr>
          <w:rFonts w:hint="eastAsia" w:ascii="Times New Roman" w:hAnsi="Times New Roman" w:eastAsia="方正小标宋简体" w:cs="Times New Roman"/>
          <w:sz w:val="32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(三)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强化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示范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引领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在科技成果转移转化中探索形成一批可复制、可推广的工作经验与模式，及时在各市、各部门推广实施，强化示范引领和区域带动,引导全省关心和支持科技成果转移转化, 有力</w:t>
      </w:r>
      <w:r>
        <w:rPr>
          <w:rFonts w:hint="eastAsia" w:ascii="仿宋_GB2312" w:hAnsi="仿宋_GB2312" w:eastAsia="仿宋_GB2312"/>
          <w:sz w:val="32"/>
        </w:rPr>
        <w:t>推动科技成果高质量供给和转化应用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/>
    <w:p/>
    <w:p>
      <w:pPr>
        <w:spacing w:line="579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OGVhNGJiOGQwYTE1NTRkNmQ1YWVjOTQ3YTgxZTMifQ=="/>
  </w:docVars>
  <w:rsids>
    <w:rsidRoot w:val="00000000"/>
    <w:rsid w:val="7C9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 First Indent 2"/>
    <w:basedOn w:val="6"/>
    <w:qFormat/>
    <w:uiPriority w:val="0"/>
  </w:style>
  <w:style w:type="paragraph" w:customStyle="1" w:styleId="6">
    <w:name w:val="Body Text Indent"/>
    <w:basedOn w:val="1"/>
    <w:qFormat/>
    <w:uiPriority w:val="0"/>
    <w:pPr>
      <w:ind w:firstLine="420" w:firstLine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2022-04-29T01:56:06Z</dcterms:created>
  <dc:creator>sjh</dc:creator>
  <cp:lastModifiedBy>sjh</cp:lastModifiedBy>
  <dcterms:modified xsi:type="dcterms:W3CDTF">2022-04-29T01:56:17Z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B70CE34DDA32497FB8AAA267E1CC9C59</vt:lpwstr>
  </property>
</Properties>
</file>