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805" w:rsidRDefault="00296805">
      <w:pPr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附件</w:t>
      </w:r>
      <w:r>
        <w:rPr>
          <w:b/>
          <w:sz w:val="36"/>
          <w:szCs w:val="36"/>
        </w:rPr>
        <w:t>1</w:t>
      </w:r>
    </w:p>
    <w:p w:rsidR="00296805" w:rsidRDefault="00296805"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本次检验项目</w:t>
      </w:r>
    </w:p>
    <w:p w:rsidR="00296805" w:rsidRDefault="00296805">
      <w:pPr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一、餐饮食品</w:t>
      </w:r>
    </w:p>
    <w:p w:rsidR="00296805" w:rsidRDefault="00296805">
      <w:pPr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（一）抽检依据</w:t>
      </w:r>
    </w:p>
    <w:p w:rsidR="00296805" w:rsidRDefault="00296805">
      <w:pPr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抽检依据是</w:t>
      </w:r>
      <w:r>
        <w:rPr>
          <w:rFonts w:ascii="仿宋_GB2312" w:eastAsia="仿宋_GB2312" w:hAnsi="仿宋_GB2312" w:cs="仿宋_GB2312" w:hint="eastAsia"/>
          <w:sz w:val="32"/>
          <w:szCs w:val="32"/>
        </w:rPr>
        <w:t>《食品安全国家标准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食品添加剂使用标准》（</w:t>
      </w:r>
      <w:r>
        <w:rPr>
          <w:rFonts w:ascii="仿宋_GB2312" w:eastAsia="仿宋_GB2312" w:hAnsi="仿宋_GB2312" w:cs="仿宋_GB2312"/>
          <w:sz w:val="32"/>
          <w:szCs w:val="32"/>
        </w:rPr>
        <w:t>GB 2760-2014</w:t>
      </w:r>
      <w:r>
        <w:rPr>
          <w:rFonts w:ascii="仿宋_GB2312" w:eastAsia="仿宋_GB2312" w:hAnsi="仿宋_GB2312" w:cs="仿宋_GB2312" w:hint="eastAsia"/>
          <w:sz w:val="32"/>
          <w:szCs w:val="32"/>
        </w:rPr>
        <w:t>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_GB2312" w:eastAsia="仿宋_GB2312" w:hAnsi="仿宋_GB2312" w:cs="仿宋_GB2312" w:hint="eastAsia"/>
          <w:sz w:val="32"/>
          <w:szCs w:val="32"/>
        </w:rPr>
        <w:t>《食品安全国家标准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食品中污染物限量》（</w:t>
      </w:r>
      <w:r>
        <w:rPr>
          <w:rFonts w:ascii="仿宋_GB2312" w:eastAsia="仿宋_GB2312" w:hAnsi="仿宋_GB2312" w:cs="仿宋_GB2312"/>
          <w:sz w:val="32"/>
          <w:szCs w:val="32"/>
        </w:rPr>
        <w:t>GB 2762-2017</w:t>
      </w:r>
      <w:r>
        <w:rPr>
          <w:rFonts w:ascii="仿宋_GB2312" w:eastAsia="仿宋_GB2312" w:hAnsi="仿宋_GB2312" w:cs="仿宋_GB2312" w:hint="eastAsia"/>
          <w:sz w:val="32"/>
          <w:szCs w:val="32"/>
        </w:rPr>
        <w:t>），《食品中可能违法添加的非食用物质和易滥用的食品添加剂品种名单</w:t>
      </w:r>
      <w:r>
        <w:rPr>
          <w:rFonts w:ascii="仿宋_GB2312" w:eastAsia="仿宋_GB2312" w:hAnsi="仿宋_GB2312" w:cs="仿宋_GB2312"/>
          <w:sz w:val="32"/>
          <w:szCs w:val="32"/>
        </w:rPr>
        <w:t>(</w:t>
      </w:r>
      <w:r>
        <w:rPr>
          <w:rFonts w:ascii="仿宋_GB2312" w:eastAsia="仿宋_GB2312" w:hAnsi="仿宋_GB2312" w:cs="仿宋_GB2312" w:hint="eastAsia"/>
          <w:sz w:val="32"/>
          <w:szCs w:val="32"/>
        </w:rPr>
        <w:t>第一批</w:t>
      </w:r>
      <w:r>
        <w:rPr>
          <w:rFonts w:ascii="仿宋_GB2312" w:eastAsia="仿宋_GB2312" w:hAnsi="仿宋_GB2312" w:cs="仿宋_GB2312"/>
          <w:sz w:val="32"/>
          <w:szCs w:val="32"/>
        </w:rPr>
        <w:t>)</w:t>
      </w:r>
      <w:r>
        <w:rPr>
          <w:rFonts w:ascii="仿宋_GB2312" w:eastAsia="仿宋_GB2312" w:hAnsi="仿宋_GB2312" w:cs="仿宋_GB2312" w:hint="eastAsia"/>
          <w:sz w:val="32"/>
          <w:szCs w:val="32"/>
        </w:rPr>
        <w:t>》</w:t>
      </w:r>
      <w:r>
        <w:rPr>
          <w:rFonts w:ascii="仿宋" w:eastAsia="仿宋" w:hAnsi="仿宋" w:cs="仿宋_GB2312" w:hint="eastAsia"/>
          <w:sz w:val="32"/>
          <w:szCs w:val="32"/>
        </w:rPr>
        <w:t>（</w:t>
      </w:r>
      <w:r>
        <w:rPr>
          <w:rFonts w:ascii="仿宋_GB2312" w:eastAsia="仿宋_GB2312" w:hAnsi="仿宋_GB2312" w:cs="仿宋_GB2312" w:hint="eastAsia"/>
          <w:sz w:val="32"/>
          <w:szCs w:val="32"/>
        </w:rPr>
        <w:t>食品整治办</w:t>
      </w:r>
      <w:r>
        <w:rPr>
          <w:rFonts w:ascii="仿宋_GB2312" w:eastAsia="仿宋_GB2312" w:hAnsi="仿宋_GB2312" w:cs="仿宋_GB2312"/>
          <w:sz w:val="32"/>
          <w:szCs w:val="32"/>
        </w:rPr>
        <w:t>[2008]3</w:t>
      </w:r>
      <w:r>
        <w:rPr>
          <w:rFonts w:ascii="仿宋_GB2312" w:eastAsia="仿宋_GB2312" w:hAnsi="仿宋_GB2312" w:cs="仿宋_GB2312" w:hint="eastAsia"/>
          <w:sz w:val="32"/>
          <w:szCs w:val="32"/>
        </w:rPr>
        <w:t>号</w:t>
      </w:r>
      <w:r>
        <w:rPr>
          <w:rFonts w:ascii="仿宋" w:eastAsia="仿宋" w:hAnsi="仿宋" w:cs="仿宋_GB2312" w:hint="eastAsia"/>
          <w:sz w:val="32"/>
          <w:szCs w:val="32"/>
        </w:rPr>
        <w:t>）</w:t>
      </w:r>
      <w:r>
        <w:rPr>
          <w:rFonts w:ascii="仿宋_GB2312" w:eastAsia="仿宋_GB2312" w:hAnsi="仿宋_GB2312" w:cs="仿宋_GB2312" w:hint="eastAsia"/>
          <w:sz w:val="32"/>
          <w:szCs w:val="32"/>
        </w:rPr>
        <w:t>等标准及产品明示标准和指标的要求。</w:t>
      </w:r>
    </w:p>
    <w:p w:rsidR="00296805" w:rsidRDefault="00296805">
      <w:pPr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（二）检验项目</w:t>
      </w:r>
    </w:p>
    <w:p w:rsidR="00296805" w:rsidRDefault="00296805">
      <w:pPr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餐饮食品检验项目为罂粟碱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那可丁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蒂巴因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可待因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吗啡，铅（以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铝的残留量（干样品，以</w:t>
      </w:r>
      <w:r>
        <w:rPr>
          <w:rFonts w:ascii="仿宋" w:eastAsia="仿宋" w:hAnsi="仿宋" w:cs="仿宋_GB2312"/>
          <w:sz w:val="32"/>
          <w:szCs w:val="32"/>
        </w:rPr>
        <w:t>Al</w:t>
      </w:r>
      <w:r>
        <w:rPr>
          <w:rFonts w:ascii="仿宋" w:eastAsia="仿宋" w:hAnsi="仿宋" w:cs="仿宋_GB2312" w:hint="eastAsia"/>
          <w:sz w:val="32"/>
          <w:szCs w:val="32"/>
        </w:rPr>
        <w:t>计）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丙酸及其钠盐、钙盐（以丙酸计）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苯甲酸及其钠盐（以苯甲酸计）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山梨酸及其钾盐（以山梨酸计）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糖精钠（以糖精计）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脱氢乙酸及其钠盐</w:t>
      </w:r>
      <w:r>
        <w:rPr>
          <w:rFonts w:ascii="仿宋" w:eastAsia="仿宋" w:hAnsi="仿宋" w:cs="仿宋_GB2312"/>
          <w:sz w:val="32"/>
          <w:szCs w:val="32"/>
        </w:rPr>
        <w:t>(</w:t>
      </w:r>
      <w:r>
        <w:rPr>
          <w:rFonts w:ascii="仿宋" w:eastAsia="仿宋" w:hAnsi="仿宋" w:cs="仿宋_GB2312" w:hint="eastAsia"/>
          <w:sz w:val="32"/>
          <w:szCs w:val="32"/>
        </w:rPr>
        <w:t>以脱氢乙酸计</w:t>
      </w:r>
      <w:r>
        <w:rPr>
          <w:rFonts w:ascii="仿宋" w:eastAsia="仿宋" w:hAnsi="仿宋" w:cs="仿宋_GB2312"/>
          <w:sz w:val="32"/>
          <w:szCs w:val="32"/>
        </w:rPr>
        <w:t>),</w:t>
      </w:r>
      <w:r>
        <w:rPr>
          <w:rFonts w:ascii="仿宋" w:eastAsia="仿宋" w:hAnsi="仿宋" w:cs="仿宋_GB2312" w:hint="eastAsia"/>
          <w:sz w:val="32"/>
          <w:szCs w:val="32"/>
        </w:rPr>
        <w:t>三氯蔗糖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二氧化硫残留量</w:t>
      </w:r>
    </w:p>
    <w:p w:rsidR="00296805" w:rsidRDefault="00296805">
      <w:pPr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二、糕点</w:t>
      </w:r>
    </w:p>
    <w:p w:rsidR="00296805" w:rsidRDefault="00296805">
      <w:pPr>
        <w:numPr>
          <w:ilvl w:val="0"/>
          <w:numId w:val="1"/>
        </w:numPr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抽检依据</w:t>
      </w:r>
    </w:p>
    <w:p w:rsidR="00296805" w:rsidRDefault="00296805">
      <w:pPr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抽检依据是</w:t>
      </w:r>
      <w:r>
        <w:rPr>
          <w:rFonts w:ascii="仿宋_GB2312" w:eastAsia="仿宋_GB2312" w:hAnsi="仿宋_GB2312" w:cs="仿宋_GB2312" w:hint="eastAsia"/>
          <w:sz w:val="32"/>
          <w:szCs w:val="32"/>
        </w:rPr>
        <w:t>《食品安全国家标准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食品添加剂使用标准》（</w:t>
      </w:r>
      <w:r>
        <w:rPr>
          <w:rFonts w:ascii="仿宋_GB2312" w:eastAsia="仿宋_GB2312" w:hAnsi="仿宋_GB2312" w:cs="仿宋_GB2312"/>
          <w:sz w:val="32"/>
          <w:szCs w:val="32"/>
        </w:rPr>
        <w:t>GB 2760-2014</w:t>
      </w:r>
      <w:r>
        <w:rPr>
          <w:rFonts w:ascii="仿宋_GB2312" w:eastAsia="仿宋_GB2312" w:hAnsi="仿宋_GB2312" w:cs="仿宋_GB2312" w:hint="eastAsia"/>
          <w:sz w:val="32"/>
          <w:szCs w:val="32"/>
        </w:rPr>
        <w:t>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_GB2312" w:eastAsia="仿宋_GB2312" w:hAnsi="仿宋_GB2312" w:cs="仿宋_GB2312" w:hint="eastAsia"/>
          <w:sz w:val="32"/>
          <w:szCs w:val="32"/>
        </w:rPr>
        <w:t>《食品安全国家标准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食品中污染物限量》（</w:t>
      </w:r>
      <w:r>
        <w:rPr>
          <w:rFonts w:ascii="仿宋_GB2312" w:eastAsia="仿宋_GB2312" w:hAnsi="仿宋_GB2312" w:cs="仿宋_GB2312"/>
          <w:sz w:val="32"/>
          <w:szCs w:val="32"/>
        </w:rPr>
        <w:t>GB 2762-2017</w:t>
      </w:r>
      <w:r>
        <w:rPr>
          <w:rFonts w:ascii="仿宋_GB2312" w:eastAsia="仿宋_GB2312" w:hAnsi="仿宋_GB2312" w:cs="仿宋_GB2312" w:hint="eastAsia"/>
          <w:sz w:val="32"/>
          <w:szCs w:val="32"/>
        </w:rPr>
        <w:t>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_GB2312" w:eastAsia="仿宋_GB2312" w:hAnsi="仿宋_GB2312" w:cs="仿宋_GB2312" w:hint="eastAsia"/>
          <w:sz w:val="32"/>
          <w:szCs w:val="32"/>
        </w:rPr>
        <w:t>《食品安全国家标准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糕点、面包》（</w:t>
      </w:r>
      <w:r>
        <w:rPr>
          <w:rFonts w:ascii="仿宋_GB2312" w:eastAsia="仿宋_GB2312" w:hAnsi="仿宋_GB2312" w:cs="仿宋_GB2312"/>
          <w:sz w:val="32"/>
          <w:szCs w:val="32"/>
        </w:rPr>
        <w:t>GB 7099-2015</w:t>
      </w:r>
      <w:r>
        <w:rPr>
          <w:rFonts w:ascii="仿宋_GB2312" w:eastAsia="仿宋_GB2312" w:hAnsi="仿宋_GB2312" w:cs="仿宋_GB2312" w:hint="eastAsia"/>
          <w:sz w:val="32"/>
          <w:szCs w:val="32"/>
        </w:rPr>
        <w:t>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_GB2312" w:eastAsia="仿宋_GB2312" w:hAnsi="仿宋_GB2312" w:cs="仿宋_GB2312" w:hint="eastAsia"/>
          <w:sz w:val="32"/>
          <w:szCs w:val="32"/>
        </w:rPr>
        <w:t>《食品中可能违法添加的非食用物质和易滥用的食品添加剂品种名单</w:t>
      </w:r>
      <w:r>
        <w:rPr>
          <w:rFonts w:ascii="仿宋_GB2312" w:eastAsia="仿宋_GB2312" w:hAnsi="仿宋_GB2312" w:cs="仿宋_GB2312"/>
          <w:sz w:val="32"/>
          <w:szCs w:val="32"/>
        </w:rPr>
        <w:t>(</w:t>
      </w:r>
      <w:r>
        <w:rPr>
          <w:rFonts w:ascii="仿宋_GB2312" w:eastAsia="仿宋_GB2312" w:hAnsi="仿宋_GB2312" w:cs="仿宋_GB2312" w:hint="eastAsia"/>
          <w:sz w:val="32"/>
          <w:szCs w:val="32"/>
        </w:rPr>
        <w:t>第五批</w:t>
      </w:r>
      <w:r>
        <w:rPr>
          <w:rFonts w:ascii="仿宋_GB2312" w:eastAsia="仿宋_GB2312" w:hAnsi="仿宋_GB2312" w:cs="仿宋_GB2312"/>
          <w:sz w:val="32"/>
          <w:szCs w:val="32"/>
        </w:rPr>
        <w:t>)</w:t>
      </w:r>
      <w:r>
        <w:rPr>
          <w:rFonts w:ascii="仿宋_GB2312" w:eastAsia="仿宋_GB2312" w:hAnsi="仿宋_GB2312" w:cs="仿宋_GB2312" w:hint="eastAsia"/>
          <w:sz w:val="32"/>
          <w:szCs w:val="32"/>
        </w:rPr>
        <w:t>》（</w:t>
      </w:r>
      <w:r>
        <w:rPr>
          <w:rFonts w:ascii="仿宋" w:eastAsia="仿宋" w:hAnsi="仿宋" w:cs="仿宋_GB2312" w:hint="eastAsia"/>
          <w:sz w:val="32"/>
          <w:szCs w:val="32"/>
        </w:rPr>
        <w:t>整顿办函</w:t>
      </w:r>
      <w:r>
        <w:rPr>
          <w:rFonts w:ascii="仿宋" w:eastAsia="仿宋" w:hAnsi="仿宋" w:cs="仿宋_GB2312"/>
          <w:sz w:val="32"/>
          <w:szCs w:val="32"/>
        </w:rPr>
        <w:t>[2011]1</w:t>
      </w:r>
      <w:r>
        <w:rPr>
          <w:rFonts w:ascii="仿宋" w:eastAsia="仿宋" w:hAnsi="仿宋" w:cs="仿宋_GB2312" w:hint="eastAsia"/>
          <w:sz w:val="32"/>
          <w:szCs w:val="32"/>
        </w:rPr>
        <w:t>号</w:t>
      </w:r>
      <w:r>
        <w:rPr>
          <w:rFonts w:ascii="仿宋_GB2312" w:eastAsia="仿宋_GB2312" w:hAnsi="仿宋_GB2312" w:cs="仿宋_GB2312" w:hint="eastAsia"/>
          <w:sz w:val="32"/>
          <w:szCs w:val="32"/>
        </w:rPr>
        <w:t>）等标准及产品明示标准和指标的要求。</w:t>
      </w:r>
    </w:p>
    <w:p w:rsidR="00296805" w:rsidRDefault="00296805">
      <w:pPr>
        <w:numPr>
          <w:ilvl w:val="0"/>
          <w:numId w:val="2"/>
        </w:numPr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检验项目</w:t>
      </w:r>
    </w:p>
    <w:p w:rsidR="00296805" w:rsidRDefault="00296805">
      <w:pPr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糕点检验项目为过氧化值</w:t>
      </w:r>
      <w:r>
        <w:rPr>
          <w:rFonts w:ascii="仿宋" w:eastAsia="仿宋" w:hAnsi="仿宋" w:cs="仿宋_GB2312"/>
          <w:sz w:val="32"/>
          <w:szCs w:val="32"/>
        </w:rPr>
        <w:t>(</w:t>
      </w:r>
      <w:r>
        <w:rPr>
          <w:rFonts w:ascii="仿宋" w:eastAsia="仿宋" w:hAnsi="仿宋" w:cs="仿宋_GB2312" w:hint="eastAsia"/>
          <w:sz w:val="32"/>
          <w:szCs w:val="32"/>
        </w:rPr>
        <w:t>以脂肪计</w:t>
      </w:r>
      <w:r>
        <w:rPr>
          <w:rFonts w:ascii="仿宋" w:eastAsia="仿宋" w:hAnsi="仿宋" w:cs="仿宋_GB2312"/>
          <w:sz w:val="32"/>
          <w:szCs w:val="32"/>
        </w:rPr>
        <w:t>),</w:t>
      </w:r>
      <w:r>
        <w:rPr>
          <w:rFonts w:ascii="仿宋" w:eastAsia="仿宋" w:hAnsi="仿宋" w:cs="仿宋_GB2312" w:hint="eastAsia"/>
          <w:sz w:val="32"/>
          <w:szCs w:val="32"/>
        </w:rPr>
        <w:t>酸价（以脂肪计）（</w:t>
      </w:r>
      <w:r>
        <w:rPr>
          <w:rFonts w:ascii="仿宋" w:eastAsia="仿宋" w:hAnsi="仿宋" w:cs="仿宋_GB2312"/>
          <w:sz w:val="32"/>
          <w:szCs w:val="32"/>
        </w:rPr>
        <w:t>KOH</w:t>
      </w:r>
      <w:r>
        <w:rPr>
          <w:rFonts w:ascii="仿宋" w:eastAsia="仿宋" w:hAnsi="仿宋" w:cs="仿宋_GB2312" w:hint="eastAsia"/>
          <w:sz w:val="32"/>
          <w:szCs w:val="32"/>
        </w:rPr>
        <w:t>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乙酰磺胺酸钾（安赛蜜）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苯甲酸及其钠盐（以苯甲酸计）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山梨酸及其钾盐（以山梨酸计）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糖精钠（以糖精计）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甜蜜素（以环己基氨基磺酸计）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苏丹红Ⅰ、Ⅱ、Ⅲ、Ⅳ。</w:t>
      </w:r>
    </w:p>
    <w:p w:rsidR="00296805" w:rsidRDefault="00296805">
      <w:pPr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/>
          <w:sz w:val="32"/>
          <w:szCs w:val="32"/>
        </w:rPr>
        <w:t xml:space="preserve">    </w:t>
      </w:r>
      <w:r>
        <w:rPr>
          <w:rFonts w:ascii="仿宋" w:eastAsia="仿宋" w:hAnsi="仿宋" w:cs="仿宋_GB2312" w:hint="eastAsia"/>
          <w:sz w:val="32"/>
          <w:szCs w:val="32"/>
        </w:rPr>
        <w:t>三、</w:t>
      </w:r>
      <w:r>
        <w:rPr>
          <w:rFonts w:ascii="仿宋" w:eastAsia="仿宋" w:hAnsi="仿宋" w:cs="仿宋_GB2312" w:hint="eastAsia"/>
          <w:bCs/>
          <w:sz w:val="32"/>
          <w:szCs w:val="32"/>
        </w:rPr>
        <w:t>食用农产品</w:t>
      </w:r>
    </w:p>
    <w:p w:rsidR="00296805" w:rsidRDefault="00296805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抽检依据是农业部公告第</w:t>
      </w:r>
      <w:r>
        <w:rPr>
          <w:rFonts w:ascii="仿宋_GB2312" w:eastAsia="仿宋_GB2312" w:hAnsi="仿宋_GB2312" w:cs="仿宋_GB2312"/>
          <w:sz w:val="32"/>
          <w:szCs w:val="32"/>
        </w:rPr>
        <w:t>235</w:t>
      </w:r>
      <w:r>
        <w:rPr>
          <w:rFonts w:ascii="仿宋_GB2312" w:eastAsia="仿宋_GB2312" w:hAnsi="仿宋_GB2312" w:cs="仿宋_GB2312" w:hint="eastAsia"/>
          <w:sz w:val="32"/>
          <w:szCs w:val="32"/>
        </w:rPr>
        <w:t>号《动物性食品中兽药最高残留限量》、农业部公告第</w:t>
      </w:r>
      <w:r>
        <w:rPr>
          <w:rFonts w:ascii="仿宋_GB2312" w:eastAsia="仿宋_GB2312" w:hAnsi="仿宋_GB2312" w:cs="仿宋_GB2312"/>
          <w:sz w:val="32"/>
          <w:szCs w:val="32"/>
        </w:rPr>
        <w:t>560</w:t>
      </w:r>
      <w:r>
        <w:rPr>
          <w:rFonts w:ascii="仿宋_GB2312" w:eastAsia="仿宋_GB2312" w:hAnsi="仿宋_GB2312" w:cs="仿宋_GB2312" w:hint="eastAsia"/>
          <w:sz w:val="32"/>
          <w:szCs w:val="32"/>
        </w:rPr>
        <w:t>号《兽药地方标准废止目录》、农业部公告第</w:t>
      </w:r>
      <w:r>
        <w:rPr>
          <w:rFonts w:ascii="仿宋_GB2312" w:eastAsia="仿宋_GB2312" w:hAnsi="仿宋_GB2312" w:cs="仿宋_GB2312"/>
          <w:sz w:val="32"/>
          <w:szCs w:val="32"/>
        </w:rPr>
        <w:t>2292</w:t>
      </w:r>
      <w:r>
        <w:rPr>
          <w:rFonts w:ascii="仿宋_GB2312" w:eastAsia="仿宋_GB2312" w:hAnsi="仿宋_GB2312" w:cs="仿宋_GB2312" w:hint="eastAsia"/>
          <w:sz w:val="32"/>
          <w:szCs w:val="32"/>
        </w:rPr>
        <w:t>号《发布在食品动物中停止使用洛美沙星、培氟沙星、氧氟沙星、诺氟沙星</w:t>
      </w:r>
      <w:r>
        <w:rPr>
          <w:rFonts w:ascii="仿宋_GB2312" w:eastAsia="仿宋_GB2312" w:hAnsi="仿宋_GB2312" w:cs="仿宋_GB2312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种兽药的决定》、</w:t>
      </w:r>
      <w:bookmarkStart w:id="0" w:name="_GoBack"/>
      <w:bookmarkEnd w:id="0"/>
      <w:r>
        <w:rPr>
          <w:rFonts w:ascii="仿宋_GB2312" w:eastAsia="仿宋_GB2312" w:hAnsi="仿宋_GB2312" w:cs="仿宋_GB2312" w:hint="eastAsia"/>
          <w:sz w:val="32"/>
          <w:szCs w:val="32"/>
        </w:rPr>
        <w:t>《食品安全国家标准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食品中污染物限量》（</w:t>
      </w:r>
      <w:r>
        <w:rPr>
          <w:rFonts w:ascii="仿宋_GB2312" w:eastAsia="仿宋_GB2312" w:hAnsi="仿宋_GB2312" w:cs="仿宋_GB2312"/>
          <w:sz w:val="32"/>
          <w:szCs w:val="32"/>
        </w:rPr>
        <w:t>GB 2762-2017</w:t>
      </w:r>
      <w:r>
        <w:rPr>
          <w:rFonts w:ascii="仿宋_GB2312" w:eastAsia="仿宋_GB2312" w:hAnsi="仿宋_GB2312" w:cs="仿宋_GB2312" w:hint="eastAsia"/>
          <w:sz w:val="32"/>
          <w:szCs w:val="32"/>
        </w:rPr>
        <w:t>）、《食品安全国家标准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食品中农药最大残留限量》（</w:t>
      </w:r>
      <w:r>
        <w:rPr>
          <w:rFonts w:ascii="仿宋_GB2312" w:eastAsia="仿宋_GB2312" w:hAnsi="仿宋_GB2312" w:cs="仿宋_GB2312"/>
          <w:sz w:val="32"/>
          <w:szCs w:val="32"/>
        </w:rPr>
        <w:t>GB 2763-2016</w:t>
      </w:r>
      <w:r>
        <w:rPr>
          <w:rFonts w:ascii="仿宋_GB2312" w:eastAsia="仿宋_GB2312" w:hAnsi="仿宋_GB2312" w:cs="仿宋_GB2312" w:hint="eastAsia"/>
          <w:sz w:val="32"/>
          <w:szCs w:val="32"/>
        </w:rPr>
        <w:t>）、《食品安全国家标准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食品中百草枯等</w:t>
      </w:r>
      <w:r>
        <w:rPr>
          <w:rFonts w:ascii="仿宋_GB2312" w:eastAsia="仿宋_GB2312" w:hAnsi="仿宋_GB2312" w:cs="仿宋_GB2312"/>
          <w:sz w:val="32"/>
          <w:szCs w:val="32"/>
        </w:rPr>
        <w:t>43</w:t>
      </w:r>
      <w:r>
        <w:rPr>
          <w:rFonts w:ascii="仿宋_GB2312" w:eastAsia="仿宋_GB2312" w:hAnsi="仿宋_GB2312" w:cs="仿宋_GB2312" w:hint="eastAsia"/>
          <w:sz w:val="32"/>
          <w:szCs w:val="32"/>
        </w:rPr>
        <w:t>种农药最大残留限量》（</w:t>
      </w:r>
      <w:r>
        <w:rPr>
          <w:rFonts w:ascii="仿宋_GB2312" w:eastAsia="仿宋_GB2312" w:hAnsi="仿宋_GB2312" w:cs="仿宋_GB2312"/>
          <w:sz w:val="32"/>
          <w:szCs w:val="32"/>
        </w:rPr>
        <w:t>GB 2763.1-2018</w:t>
      </w:r>
      <w:r>
        <w:rPr>
          <w:rFonts w:ascii="仿宋_GB2312" w:eastAsia="仿宋_GB2312" w:hAnsi="仿宋_GB2312" w:cs="仿宋_GB2312" w:hint="eastAsia"/>
          <w:sz w:val="32"/>
          <w:szCs w:val="32"/>
        </w:rPr>
        <w:t>）、《食品安全国家标准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食品中真菌毒素限量》（</w:t>
      </w:r>
      <w:r>
        <w:rPr>
          <w:rFonts w:ascii="仿宋_GB2312" w:eastAsia="仿宋_GB2312" w:hAnsi="仿宋_GB2312" w:cs="仿宋_GB2312"/>
          <w:sz w:val="32"/>
          <w:szCs w:val="32"/>
        </w:rPr>
        <w:t>GB 2761-2017</w:t>
      </w:r>
      <w:r>
        <w:rPr>
          <w:rFonts w:ascii="仿宋_GB2312" w:eastAsia="仿宋_GB2312" w:hAnsi="仿宋_GB2312" w:cs="仿宋_GB2312" w:hint="eastAsia"/>
          <w:sz w:val="32"/>
          <w:szCs w:val="32"/>
        </w:rPr>
        <w:t>）、《食品安全国家标准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坚果与籽类食品》（</w:t>
      </w:r>
      <w:r>
        <w:rPr>
          <w:rFonts w:ascii="仿宋_GB2312" w:eastAsia="仿宋_GB2312" w:hAnsi="仿宋_GB2312" w:cs="仿宋_GB2312"/>
          <w:sz w:val="32"/>
          <w:szCs w:val="32"/>
        </w:rPr>
        <w:t>GB 19300-2014</w:t>
      </w:r>
      <w:r>
        <w:rPr>
          <w:rFonts w:ascii="仿宋_GB2312" w:eastAsia="仿宋_GB2312" w:hAnsi="仿宋_GB2312" w:cs="仿宋_GB2312" w:hint="eastAsia"/>
          <w:sz w:val="32"/>
          <w:szCs w:val="32"/>
        </w:rPr>
        <w:t>）、《食品安全国家标准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食品添加剂使用标准》（</w:t>
      </w:r>
      <w:r>
        <w:rPr>
          <w:rFonts w:ascii="仿宋_GB2312" w:eastAsia="仿宋_GB2312" w:hAnsi="仿宋_GB2312" w:cs="仿宋_GB2312"/>
          <w:sz w:val="32"/>
          <w:szCs w:val="32"/>
        </w:rPr>
        <w:t>GB 2760-2014</w:t>
      </w:r>
      <w:r>
        <w:rPr>
          <w:rFonts w:ascii="仿宋_GB2312" w:eastAsia="仿宋_GB2312" w:hAnsi="仿宋_GB2312" w:cs="仿宋_GB2312" w:hint="eastAsia"/>
          <w:sz w:val="32"/>
          <w:szCs w:val="32"/>
        </w:rPr>
        <w:t>）、《食品安全国家标准</w:t>
      </w:r>
      <w:r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鲜</w:t>
      </w:r>
      <w:r>
        <w:rPr>
          <w:rFonts w:ascii="仿宋_GB2312" w:eastAsia="仿宋_GB2312" w:hAnsi="仿宋_GB2312" w:cs="仿宋_GB2312"/>
          <w:sz w:val="32"/>
          <w:szCs w:val="32"/>
        </w:rPr>
        <w:t>(</w:t>
      </w:r>
      <w:r>
        <w:rPr>
          <w:rFonts w:ascii="仿宋_GB2312" w:eastAsia="仿宋_GB2312" w:hAnsi="仿宋_GB2312" w:cs="仿宋_GB2312" w:hint="eastAsia"/>
          <w:sz w:val="32"/>
          <w:szCs w:val="32"/>
        </w:rPr>
        <w:t>冻</w:t>
      </w:r>
      <w:r>
        <w:rPr>
          <w:rFonts w:ascii="仿宋_GB2312" w:eastAsia="仿宋_GB2312" w:hAnsi="仿宋_GB2312" w:cs="仿宋_GB2312"/>
          <w:sz w:val="32"/>
          <w:szCs w:val="32"/>
        </w:rPr>
        <w:t>)</w:t>
      </w:r>
      <w:r>
        <w:rPr>
          <w:rFonts w:ascii="仿宋_GB2312" w:eastAsia="仿宋_GB2312" w:hAnsi="仿宋_GB2312" w:cs="仿宋_GB2312" w:hint="eastAsia"/>
          <w:sz w:val="32"/>
          <w:szCs w:val="32"/>
        </w:rPr>
        <w:t>畜、禽产品》（</w:t>
      </w:r>
      <w:r>
        <w:rPr>
          <w:rFonts w:ascii="仿宋_GB2312" w:eastAsia="仿宋_GB2312" w:hAnsi="仿宋_GB2312" w:cs="仿宋_GB2312"/>
          <w:sz w:val="32"/>
          <w:szCs w:val="32"/>
        </w:rPr>
        <w:t>GB 2707-2016</w:t>
      </w:r>
      <w:r>
        <w:rPr>
          <w:rFonts w:ascii="仿宋_GB2312" w:eastAsia="仿宋_GB2312" w:hAnsi="仿宋_GB2312" w:cs="仿宋_GB2312" w:hint="eastAsia"/>
          <w:sz w:val="32"/>
          <w:szCs w:val="32"/>
        </w:rPr>
        <w:t>）等标准及产品明示标准和指标的要求。</w:t>
      </w:r>
    </w:p>
    <w:p w:rsidR="00296805" w:rsidRDefault="00296805">
      <w:pPr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（二）检验项目</w:t>
      </w:r>
    </w:p>
    <w:p w:rsidR="00296805" w:rsidRDefault="00296805">
      <w:pPr>
        <w:ind w:firstLineChars="200" w:firstLine="640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bCs/>
          <w:sz w:val="32"/>
          <w:szCs w:val="32"/>
        </w:rPr>
        <w:t>食用农产品检验项目为克百威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铅（以</w:t>
      </w:r>
      <w:r>
        <w:rPr>
          <w:rFonts w:ascii="仿宋" w:eastAsia="仿宋" w:hAnsi="仿宋" w:cs="仿宋_GB2312"/>
          <w:bCs/>
          <w:sz w:val="32"/>
          <w:szCs w:val="32"/>
        </w:rPr>
        <w:t>Pb</w:t>
      </w:r>
      <w:r>
        <w:rPr>
          <w:rFonts w:ascii="仿宋" w:eastAsia="仿宋" w:hAnsi="仿宋" w:cs="仿宋_GB2312" w:hint="eastAsia"/>
          <w:bCs/>
          <w:sz w:val="32"/>
          <w:szCs w:val="32"/>
        </w:rPr>
        <w:t>计）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镉（以</w:t>
      </w:r>
      <w:r>
        <w:rPr>
          <w:rFonts w:ascii="仿宋" w:eastAsia="仿宋" w:hAnsi="仿宋" w:cs="仿宋_GB2312"/>
          <w:bCs/>
          <w:sz w:val="32"/>
          <w:szCs w:val="32"/>
        </w:rPr>
        <w:t>Cd</w:t>
      </w:r>
      <w:r>
        <w:rPr>
          <w:rFonts w:ascii="仿宋" w:eastAsia="仿宋" w:hAnsi="仿宋" w:cs="仿宋_GB2312" w:hint="eastAsia"/>
          <w:bCs/>
          <w:sz w:val="32"/>
          <w:szCs w:val="32"/>
        </w:rPr>
        <w:t>计）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杀扑磷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氧乐果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多菌灵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水胺硫磷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倍硫磷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灭多威，苯醚甲环唑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甲氨基阿维菌素苯甲酸盐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氯氰菊酯和高效氯氰菊酯，氟虫腈，吡虫啉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毒死蜱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甲拌磷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吡唑醚菌酯，甲霜灵和精甲霜灵，总汞（以</w:t>
      </w:r>
      <w:r>
        <w:rPr>
          <w:rFonts w:ascii="仿宋" w:eastAsia="仿宋" w:hAnsi="仿宋" w:cs="仿宋_GB2312"/>
          <w:bCs/>
          <w:sz w:val="32"/>
          <w:szCs w:val="32"/>
        </w:rPr>
        <w:t>Hg</w:t>
      </w:r>
      <w:r>
        <w:rPr>
          <w:rFonts w:ascii="仿宋" w:eastAsia="仿宋" w:hAnsi="仿宋" w:cs="仿宋_GB2312" w:hint="eastAsia"/>
          <w:bCs/>
          <w:sz w:val="32"/>
          <w:szCs w:val="32"/>
        </w:rPr>
        <w:t>计）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总砷（以</w:t>
      </w:r>
      <w:r>
        <w:rPr>
          <w:rFonts w:ascii="仿宋" w:eastAsia="仿宋" w:hAnsi="仿宋" w:cs="仿宋_GB2312"/>
          <w:bCs/>
          <w:sz w:val="32"/>
          <w:szCs w:val="32"/>
        </w:rPr>
        <w:t>As</w:t>
      </w:r>
      <w:r>
        <w:rPr>
          <w:rFonts w:ascii="仿宋" w:eastAsia="仿宋" w:hAnsi="仿宋" w:cs="仿宋_GB2312" w:hint="eastAsia"/>
          <w:bCs/>
          <w:sz w:val="32"/>
          <w:szCs w:val="32"/>
        </w:rPr>
        <w:t>计）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二氧化硫残留量，酸价（以脂肪计）（</w:t>
      </w:r>
      <w:r>
        <w:rPr>
          <w:rFonts w:ascii="仿宋" w:eastAsia="仿宋" w:hAnsi="仿宋" w:cs="仿宋_GB2312"/>
          <w:bCs/>
          <w:sz w:val="32"/>
          <w:szCs w:val="32"/>
        </w:rPr>
        <w:t>KOH</w:t>
      </w:r>
      <w:r>
        <w:rPr>
          <w:rFonts w:ascii="仿宋" w:eastAsia="仿宋" w:hAnsi="仿宋" w:cs="仿宋_GB2312" w:hint="eastAsia"/>
          <w:bCs/>
          <w:sz w:val="32"/>
          <w:szCs w:val="32"/>
        </w:rPr>
        <w:t>）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过氧化值</w:t>
      </w:r>
      <w:r>
        <w:rPr>
          <w:rFonts w:ascii="仿宋" w:eastAsia="仿宋" w:hAnsi="仿宋" w:cs="仿宋_GB2312"/>
          <w:bCs/>
          <w:sz w:val="32"/>
          <w:szCs w:val="32"/>
        </w:rPr>
        <w:t>(</w:t>
      </w:r>
      <w:r>
        <w:rPr>
          <w:rFonts w:ascii="仿宋" w:eastAsia="仿宋" w:hAnsi="仿宋" w:cs="仿宋_GB2312" w:hint="eastAsia"/>
          <w:bCs/>
          <w:sz w:val="32"/>
          <w:szCs w:val="32"/>
        </w:rPr>
        <w:t>以脂肪计</w:t>
      </w:r>
      <w:r>
        <w:rPr>
          <w:rFonts w:ascii="仿宋" w:eastAsia="仿宋" w:hAnsi="仿宋" w:cs="仿宋_GB2312"/>
          <w:bCs/>
          <w:sz w:val="32"/>
          <w:szCs w:val="32"/>
        </w:rPr>
        <w:t>),</w:t>
      </w:r>
      <w:r>
        <w:rPr>
          <w:rFonts w:ascii="仿宋" w:eastAsia="仿宋" w:hAnsi="仿宋" w:cs="仿宋_GB2312" w:hint="eastAsia"/>
          <w:bCs/>
          <w:sz w:val="32"/>
          <w:szCs w:val="32"/>
        </w:rPr>
        <w:t>大肠菌群，克伦特罗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沙丁胺醇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莱克多巴胺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氯霉素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恩诺沙星（以恩诺沙星与环丙沙星之和计）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磺胺类（总量）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培氟沙星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氧氟沙星，挥发性盐基氮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特布他林、呋喃妥因（</w:t>
      </w:r>
      <w:r>
        <w:rPr>
          <w:rFonts w:ascii="仿宋" w:eastAsia="仿宋" w:hAnsi="仿宋" w:cs="仿宋_GB2312"/>
          <w:bCs/>
          <w:sz w:val="32"/>
          <w:szCs w:val="32"/>
        </w:rPr>
        <w:t>AHD</w:t>
      </w:r>
      <w:r>
        <w:rPr>
          <w:rFonts w:ascii="仿宋" w:eastAsia="仿宋" w:hAnsi="仿宋" w:cs="仿宋_GB2312" w:hint="eastAsia"/>
          <w:bCs/>
          <w:sz w:val="32"/>
          <w:szCs w:val="32"/>
        </w:rPr>
        <w:t>）代谢物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呋喃西林（</w:t>
      </w:r>
      <w:r>
        <w:rPr>
          <w:rFonts w:ascii="仿宋" w:eastAsia="仿宋" w:hAnsi="仿宋" w:cs="仿宋_GB2312"/>
          <w:bCs/>
          <w:sz w:val="32"/>
          <w:szCs w:val="32"/>
        </w:rPr>
        <w:t>SEM</w:t>
      </w:r>
      <w:r>
        <w:rPr>
          <w:rFonts w:ascii="仿宋" w:eastAsia="仿宋" w:hAnsi="仿宋" w:cs="仿宋_GB2312" w:hint="eastAsia"/>
          <w:bCs/>
          <w:sz w:val="32"/>
          <w:szCs w:val="32"/>
        </w:rPr>
        <w:t>）代谢物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呋喃唑酮（</w:t>
      </w:r>
      <w:r>
        <w:rPr>
          <w:rFonts w:ascii="仿宋" w:eastAsia="仿宋" w:hAnsi="仿宋" w:cs="仿宋_GB2312"/>
          <w:bCs/>
          <w:sz w:val="32"/>
          <w:szCs w:val="32"/>
        </w:rPr>
        <w:t>AOZ</w:t>
      </w:r>
      <w:r>
        <w:rPr>
          <w:rFonts w:ascii="仿宋" w:eastAsia="仿宋" w:hAnsi="仿宋" w:cs="仿宋_GB2312" w:hint="eastAsia"/>
          <w:bCs/>
          <w:sz w:val="32"/>
          <w:szCs w:val="32"/>
        </w:rPr>
        <w:t>）代谢物</w:t>
      </w:r>
      <w:r>
        <w:rPr>
          <w:rFonts w:ascii="仿宋" w:eastAsia="仿宋" w:hAnsi="仿宋" w:cs="仿宋_GB2312"/>
          <w:bCs/>
          <w:sz w:val="32"/>
          <w:szCs w:val="32"/>
        </w:rPr>
        <w:t>,</w:t>
      </w:r>
      <w:r>
        <w:rPr>
          <w:rFonts w:ascii="仿宋" w:eastAsia="仿宋" w:hAnsi="仿宋" w:cs="仿宋_GB2312" w:hint="eastAsia"/>
          <w:bCs/>
          <w:sz w:val="32"/>
          <w:szCs w:val="32"/>
        </w:rPr>
        <w:t>呋喃它酮（</w:t>
      </w:r>
      <w:r>
        <w:rPr>
          <w:rFonts w:ascii="仿宋" w:eastAsia="仿宋" w:hAnsi="仿宋" w:cs="仿宋_GB2312"/>
          <w:bCs/>
          <w:sz w:val="32"/>
          <w:szCs w:val="32"/>
        </w:rPr>
        <w:t>AMOZ</w:t>
      </w:r>
      <w:r>
        <w:rPr>
          <w:rFonts w:ascii="仿宋" w:eastAsia="仿宋" w:hAnsi="仿宋" w:cs="仿宋_GB2312" w:hint="eastAsia"/>
          <w:bCs/>
          <w:sz w:val="32"/>
          <w:szCs w:val="32"/>
        </w:rPr>
        <w:t>）代谢物，</w:t>
      </w:r>
      <w:r>
        <w:rPr>
          <w:rFonts w:ascii="仿宋" w:eastAsia="仿宋" w:hAnsi="仿宋" w:cs="仿宋_GB2312" w:hint="eastAsia"/>
          <w:sz w:val="32"/>
          <w:szCs w:val="32"/>
        </w:rPr>
        <w:t>孔雀石绿，丙溴磷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多菌灵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三唑磷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辛硫磷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溴氰菊酯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铅（以</w:t>
      </w:r>
      <w:r>
        <w:rPr>
          <w:rFonts w:ascii="仿宋" w:eastAsia="仿宋" w:hAnsi="仿宋" w:cs="仿宋_GB2312"/>
          <w:sz w:val="32"/>
          <w:szCs w:val="32"/>
        </w:rPr>
        <w:t>Pb</w:t>
      </w:r>
      <w:r>
        <w:rPr>
          <w:rFonts w:ascii="仿宋" w:eastAsia="仿宋" w:hAnsi="仿宋" w:cs="仿宋_GB2312" w:hint="eastAsia"/>
          <w:sz w:val="32"/>
          <w:szCs w:val="32"/>
        </w:rPr>
        <w:t>计）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克百威，杀扑磷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灭多威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氰戊菊酯和</w:t>
      </w:r>
      <w:r>
        <w:rPr>
          <w:rFonts w:ascii="仿宋" w:eastAsia="仿宋" w:hAnsi="仿宋" w:cs="仿宋_GB2312"/>
          <w:sz w:val="32"/>
          <w:szCs w:val="32"/>
        </w:rPr>
        <w:t>S-</w:t>
      </w:r>
      <w:r>
        <w:rPr>
          <w:rFonts w:ascii="仿宋" w:eastAsia="仿宋" w:hAnsi="仿宋" w:cs="仿宋_GB2312" w:hint="eastAsia"/>
          <w:sz w:val="32"/>
          <w:szCs w:val="32"/>
        </w:rPr>
        <w:t>氰戊菊酯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敌百虫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久效磷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硫环磷，联苯菊酯，氯氟氰菊酯和高效氯氟氰菊酯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氯氰菊酯和高效氯氰菊酯，噻螨酮，二嗪磷，苯醚甲环唑，啶虫脒，培氟沙星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洛美沙星</w:t>
      </w:r>
      <w:r>
        <w:rPr>
          <w:rFonts w:ascii="仿宋" w:eastAsia="仿宋" w:hAnsi="仿宋" w:cs="仿宋_GB2312"/>
          <w:sz w:val="32"/>
          <w:szCs w:val="32"/>
        </w:rPr>
        <w:t>,</w:t>
      </w:r>
      <w:r>
        <w:rPr>
          <w:rFonts w:ascii="仿宋" w:eastAsia="仿宋" w:hAnsi="仿宋" w:cs="仿宋_GB2312" w:hint="eastAsia"/>
          <w:sz w:val="32"/>
          <w:szCs w:val="32"/>
        </w:rPr>
        <w:t>多西环素</w:t>
      </w:r>
      <w:r>
        <w:rPr>
          <w:rFonts w:ascii="仿宋" w:eastAsia="仿宋" w:hAnsi="仿宋" w:cs="仿宋_GB2312"/>
          <w:sz w:val="32"/>
          <w:szCs w:val="32"/>
        </w:rPr>
        <w:t>(</w:t>
      </w:r>
      <w:r>
        <w:rPr>
          <w:rFonts w:ascii="仿宋" w:eastAsia="仿宋" w:hAnsi="仿宋" w:cs="仿宋_GB2312" w:hint="eastAsia"/>
          <w:sz w:val="32"/>
          <w:szCs w:val="32"/>
        </w:rPr>
        <w:t>强力霉素）。</w:t>
      </w:r>
    </w:p>
    <w:p w:rsidR="00296805" w:rsidRDefault="00296805">
      <w:pPr>
        <w:pStyle w:val="BodyText"/>
      </w:pPr>
    </w:p>
    <w:sectPr w:rsidR="00296805" w:rsidSect="00596FDA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6805" w:rsidRDefault="00296805" w:rsidP="00596FDA">
      <w:r>
        <w:separator/>
      </w:r>
    </w:p>
  </w:endnote>
  <w:endnote w:type="continuationSeparator" w:id="0">
    <w:p w:rsidR="00296805" w:rsidRDefault="00296805" w:rsidP="00596F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6805" w:rsidRDefault="00296805">
    <w:pPr>
      <w:pStyle w:val="Foo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025" o:spid="_x0000_s2049" type="#_x0000_t202" style="position:absolute;margin-left:0;margin-top:0;width:4.6pt;height:11pt;z-index:251660288;mso-wrap-style:none;mso-position-horizontal:center;mso-position-horizontal-relative:margin" o:gfxdata="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y1u5d9AAAAACAQAADwAAAAAAAAAB&#10;ACAAAAAiAAAAZHJzL2Rvd25yZXYueG1sUEsBAhQAFAAAAAgAh07iQDbMq2DfAQAAtQMAAA4AAAAA&#10;AAAAAQAgAAAAHwEAAGRycy9lMm9Eb2MueG1sUEsFBgAAAAAGAAYAWQEAAHAFAAAAAA==&#10;" filled="f" stroked="f">
          <v:textbox style="mso-fit-shape-to-text:t" inset="0,0,0,0">
            <w:txbxContent>
              <w:p w:rsidR="00296805" w:rsidRDefault="00296805">
                <w:pPr>
                  <w:snapToGrid w:val="0"/>
                  <w:rPr>
                    <w:sz w:val="18"/>
                  </w:rPr>
                </w:pPr>
                <w:fldSimple w:instr=" PAGE  \* MERGEFORMAT ">
                  <w:r w:rsidRPr="0048633F">
                    <w:rPr>
                      <w:noProof/>
                      <w:sz w:val="18"/>
                    </w:rPr>
                    <w:t>1</w:t>
                  </w:r>
                </w:fldSimple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6805" w:rsidRDefault="00296805" w:rsidP="00596FDA">
      <w:r>
        <w:separator/>
      </w:r>
    </w:p>
  </w:footnote>
  <w:footnote w:type="continuationSeparator" w:id="0">
    <w:p w:rsidR="00296805" w:rsidRDefault="00296805" w:rsidP="00596F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742ECE"/>
    <w:multiLevelType w:val="singleLevel"/>
    <w:tmpl w:val="58742ECE"/>
    <w:lvl w:ilvl="0">
      <w:start w:val="2"/>
      <w:numFmt w:val="chineseCounting"/>
      <w:suff w:val="nothing"/>
      <w:lvlText w:val="（%1）"/>
      <w:lvlJc w:val="left"/>
      <w:rPr>
        <w:rFonts w:cs="Times New Roman"/>
      </w:rPr>
    </w:lvl>
  </w:abstractNum>
  <w:abstractNum w:abstractNumId="1">
    <w:nsid w:val="58ABFADD"/>
    <w:multiLevelType w:val="singleLevel"/>
    <w:tmpl w:val="58ABFADD"/>
    <w:lvl w:ilvl="0">
      <w:start w:val="1"/>
      <w:numFmt w:val="chineseCounting"/>
      <w:suff w:val="nothing"/>
      <w:lvlText w:val="（%1）"/>
      <w:lvlJc w:val="left"/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06660"/>
    <w:rsid w:val="000626F6"/>
    <w:rsid w:val="00097B71"/>
    <w:rsid w:val="002457CC"/>
    <w:rsid w:val="002643C4"/>
    <w:rsid w:val="00296805"/>
    <w:rsid w:val="003F6A6A"/>
    <w:rsid w:val="004444BB"/>
    <w:rsid w:val="0048633F"/>
    <w:rsid w:val="00507A97"/>
    <w:rsid w:val="00596FDA"/>
    <w:rsid w:val="005D6F77"/>
    <w:rsid w:val="005E6193"/>
    <w:rsid w:val="00634991"/>
    <w:rsid w:val="00676078"/>
    <w:rsid w:val="006D441C"/>
    <w:rsid w:val="00757449"/>
    <w:rsid w:val="00941064"/>
    <w:rsid w:val="00950783"/>
    <w:rsid w:val="00962097"/>
    <w:rsid w:val="00A06660"/>
    <w:rsid w:val="00A46AD8"/>
    <w:rsid w:val="00A852C1"/>
    <w:rsid w:val="00AC7C00"/>
    <w:rsid w:val="00B45B95"/>
    <w:rsid w:val="00B77A02"/>
    <w:rsid w:val="00BB34F9"/>
    <w:rsid w:val="00C10A0C"/>
    <w:rsid w:val="00CA31C6"/>
    <w:rsid w:val="00D324C2"/>
    <w:rsid w:val="00DA7C4D"/>
    <w:rsid w:val="00DF7079"/>
    <w:rsid w:val="00EC62BA"/>
    <w:rsid w:val="00EE332B"/>
    <w:rsid w:val="00FD76F1"/>
    <w:rsid w:val="019362A4"/>
    <w:rsid w:val="09BD13DB"/>
    <w:rsid w:val="0A280229"/>
    <w:rsid w:val="0C37346C"/>
    <w:rsid w:val="23036CE8"/>
    <w:rsid w:val="293609AC"/>
    <w:rsid w:val="2F5E4339"/>
    <w:rsid w:val="31EA58C3"/>
    <w:rsid w:val="32673D19"/>
    <w:rsid w:val="32DA12DB"/>
    <w:rsid w:val="39A61DCE"/>
    <w:rsid w:val="3A550212"/>
    <w:rsid w:val="3D0E4CF3"/>
    <w:rsid w:val="41F818B2"/>
    <w:rsid w:val="450E0C06"/>
    <w:rsid w:val="459E4818"/>
    <w:rsid w:val="48D37826"/>
    <w:rsid w:val="4ACC3D93"/>
    <w:rsid w:val="4C435B7C"/>
    <w:rsid w:val="55C54EB2"/>
    <w:rsid w:val="59612BE8"/>
    <w:rsid w:val="5A270918"/>
    <w:rsid w:val="5F126E38"/>
    <w:rsid w:val="601F5D39"/>
    <w:rsid w:val="6067193E"/>
    <w:rsid w:val="659C75FC"/>
    <w:rsid w:val="69BD2834"/>
    <w:rsid w:val="6FFC1059"/>
    <w:rsid w:val="77060618"/>
    <w:rsid w:val="7A8041EE"/>
    <w:rsid w:val="7CFE0D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1" w:uiPriority="0"/>
    <w:lsdException w:name="HTML Bottom of Form" w:locked="1" w:uiPriority="0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uiPriority="0"/>
    <w:lsdException w:name="annotation subject" w:semiHidden="1" w:unhideWhenUsed="1"/>
    <w:lsdException w:name="No List" w:locked="1" w:uiPriority="0"/>
    <w:lsdException w:name="Outline List 1" w:locked="1" w:uiPriority="0"/>
    <w:lsdException w:name="Outline List 2" w:locked="1" w:uiPriority="0"/>
    <w:lsdException w:name="Outline List 3" w:locked="1" w:uiPriority="0"/>
    <w:lsdException w:name="Table Simple 1" w:locked="1" w:uiPriority="0"/>
    <w:lsdException w:name="Table Simple 2" w:locked="1" w:uiPriority="0"/>
    <w:lsdException w:name="Table Simple 3" w:locked="1" w:uiPriority="0"/>
    <w:lsdException w:name="Table Classic 1" w:locked="1" w:uiPriority="0"/>
    <w:lsdException w:name="Table Classic 2" w:locked="1" w:uiPriority="0"/>
    <w:lsdException w:name="Table Classic 3" w:locked="1" w:uiPriority="0"/>
    <w:lsdException w:name="Table Classic 4" w:locked="1" w:uiPriority="0"/>
    <w:lsdException w:name="Table Colorful 1" w:locked="1" w:uiPriority="0"/>
    <w:lsdException w:name="Table Colorful 2" w:locked="1" w:uiPriority="0"/>
    <w:lsdException w:name="Table Colorful 3" w:locked="1" w:uiPriority="0"/>
    <w:lsdException w:name="Table Columns 1" w:locked="1" w:uiPriority="0"/>
    <w:lsdException w:name="Table Columns 2" w:locked="1" w:uiPriority="0"/>
    <w:lsdException w:name="Table Columns 3" w:locked="1" w:uiPriority="0"/>
    <w:lsdException w:name="Table Columns 4" w:locked="1" w:uiPriority="0"/>
    <w:lsdException w:name="Table Columns 5" w:locked="1" w:uiPriority="0"/>
    <w:lsdException w:name="Table Grid 1" w:locked="1" w:uiPriority="0"/>
    <w:lsdException w:name="Table Grid 2" w:locked="1" w:uiPriority="0"/>
    <w:lsdException w:name="Table Grid 3" w:locked="1" w:uiPriority="0"/>
    <w:lsdException w:name="Table Grid 4" w:locked="1" w:uiPriority="0"/>
    <w:lsdException w:name="Table Grid 5" w:locked="1" w:uiPriority="0"/>
    <w:lsdException w:name="Table Grid 6" w:locked="1" w:uiPriority="0"/>
    <w:lsdException w:name="Table Grid 7" w:locked="1" w:uiPriority="0"/>
    <w:lsdException w:name="Table Grid 8" w:locked="1" w:uiPriority="0"/>
    <w:lsdException w:name="Table List 1" w:locked="1" w:uiPriority="0"/>
    <w:lsdException w:name="Table List 2" w:locked="1" w:uiPriority="0"/>
    <w:lsdException w:name="Table List 3" w:locked="1" w:uiPriority="0"/>
    <w:lsdException w:name="Table List 4" w:locked="1" w:uiPriority="0"/>
    <w:lsdException w:name="Table List 5" w:locked="1" w:uiPriority="0"/>
    <w:lsdException w:name="Table List 6" w:locked="1" w:uiPriority="0"/>
    <w:lsdException w:name="Table List 7" w:locked="1" w:uiPriority="0"/>
    <w:lsdException w:name="Table List 8" w:locked="1" w:uiPriority="0"/>
    <w:lsdException w:name="Table 3D effects 1" w:locked="1" w:uiPriority="0"/>
    <w:lsdException w:name="Table 3D effects 2" w:locked="1" w:uiPriority="0"/>
    <w:lsdException w:name="Table 3D effects 3" w:locked="1" w:uiPriority="0"/>
    <w:lsdException w:name="Table Contemporary" w:locked="1" w:uiPriority="0"/>
    <w:lsdException w:name="Table Elegant" w:locked="1" w:uiPriority="0"/>
    <w:lsdException w:name="Table Professional" w:locked="1" w:uiPriority="0"/>
    <w:lsdException w:name="Table Subtle 1" w:locked="1" w:uiPriority="0"/>
    <w:lsdException w:name="Table Subtle 2" w:locked="1" w:uiPriority="0"/>
    <w:lsdException w:name="Table Web 1" w:locked="1" w:uiPriority="0"/>
    <w:lsdException w:name="Table Web 2" w:locked="1" w:uiPriority="0"/>
    <w:lsdException w:name="Table Web 3" w:locked="1" w:uiPriority="0"/>
    <w:lsdException w:name="Balloon Text" w:semiHidden="1" w:unhideWhenUsed="1"/>
    <w:lsdException w:name="Table Grid" w:uiPriority="59"/>
    <w:lsdException w:name="Table Theme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next w:val="BodyText"/>
    <w:qFormat/>
    <w:rsid w:val="00596FDA"/>
    <w:pPr>
      <w:widowControl w:val="0"/>
      <w:jc w:val="both"/>
    </w:pPr>
    <w:rPr>
      <w:rFonts w:ascii="Calibri" w:hAnsi="Calibri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596FD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9930C7"/>
    <w:rPr>
      <w:rFonts w:ascii="Calibri" w:hAnsi="Calibri"/>
      <w:szCs w:val="24"/>
    </w:rPr>
  </w:style>
  <w:style w:type="paragraph" w:styleId="Footer">
    <w:name w:val="footer"/>
    <w:basedOn w:val="Normal"/>
    <w:link w:val="FooterChar"/>
    <w:uiPriority w:val="99"/>
    <w:rsid w:val="00596F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96FDA"/>
    <w:rPr>
      <w:rFonts w:cs="Times New Roman"/>
      <w:kern w:val="2"/>
      <w:sz w:val="18"/>
      <w:szCs w:val="18"/>
    </w:rPr>
  </w:style>
  <w:style w:type="paragraph" w:styleId="Header">
    <w:name w:val="header"/>
    <w:basedOn w:val="Normal"/>
    <w:link w:val="HeaderChar"/>
    <w:uiPriority w:val="99"/>
    <w:rsid w:val="00596F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596FDA"/>
    <w:rPr>
      <w:rFonts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3</Pages>
  <Words>217</Words>
  <Characters>1242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</dc:title>
  <dc:subject/>
  <dc:creator>lenovo</dc:creator>
  <cp:keywords/>
  <dc:description/>
  <cp:lastModifiedBy>姜权伟</cp:lastModifiedBy>
  <cp:revision>2</cp:revision>
  <dcterms:created xsi:type="dcterms:W3CDTF">2019-12-13T07:45:00Z</dcterms:created>
  <dcterms:modified xsi:type="dcterms:W3CDTF">2019-12-13T07:45:00Z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