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朔州市应急管理局</w:t>
      </w:r>
    </w:p>
    <w:p>
      <w:pPr>
        <w:jc w:val="center"/>
        <w:rPr>
          <w:rFonts w:hint="eastAsia"/>
          <w:sz w:val="44"/>
          <w:szCs w:val="44"/>
        </w:rPr>
      </w:pPr>
      <w:r>
        <w:rPr>
          <w:rFonts w:hint="eastAsia"/>
          <w:b/>
          <w:bCs/>
          <w:sz w:val="44"/>
          <w:szCs w:val="44"/>
        </w:rPr>
        <w:t>政府信息公开工作年度报告</w:t>
      </w:r>
    </w:p>
    <w:p>
      <w:pPr>
        <w:jc w:val="center"/>
        <w:rPr>
          <w:rFonts w:hint="eastAsia" w:ascii="仿宋" w:hAnsi="仿宋" w:eastAsia="仿宋" w:cs="仿宋"/>
          <w:sz w:val="24"/>
          <w:szCs w:val="24"/>
        </w:rPr>
      </w:pPr>
      <w:r>
        <w:rPr>
          <w:rFonts w:hint="eastAsia" w:ascii="宋体" w:hAnsi="宋体" w:eastAsia="宋体" w:cs="宋体"/>
          <w:sz w:val="32"/>
          <w:szCs w:val="32"/>
        </w:rPr>
        <w:t>（20</w:t>
      </w:r>
      <w:r>
        <w:rPr>
          <w:rFonts w:hint="eastAsia" w:ascii="宋体" w:hAnsi="宋体" w:eastAsia="宋体" w:cs="宋体"/>
          <w:sz w:val="32"/>
          <w:szCs w:val="32"/>
          <w:lang w:val="en-US" w:eastAsia="zh-CN"/>
        </w:rPr>
        <w:t>20</w:t>
      </w:r>
      <w:r>
        <w:rPr>
          <w:rFonts w:hint="eastAsia" w:ascii="宋体" w:hAnsi="宋体" w:eastAsia="宋体" w:cs="宋体"/>
          <w:sz w:val="32"/>
          <w:szCs w:val="32"/>
        </w:rPr>
        <w:t>年度）</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sz w:val="32"/>
          <w:szCs w:val="32"/>
          <w:lang w:eastAsia="zh-CN"/>
        </w:rPr>
      </w:pPr>
      <w:r>
        <w:rPr>
          <w:rFonts w:hint="eastAsia" w:ascii="宋体" w:hAnsi="宋体" w:eastAsia="宋体" w:cs="宋体"/>
          <w:sz w:val="32"/>
          <w:szCs w:val="32"/>
          <w:lang w:val="en-US" w:eastAsia="zh-CN"/>
        </w:rPr>
        <w:t>按照市人民政府办公室《关于做好2020年政府信息公开工作年度报告的通知》要求，</w:t>
      </w:r>
      <w:r>
        <w:rPr>
          <w:rFonts w:hint="default" w:ascii="宋体" w:hAnsi="宋体" w:eastAsia="宋体" w:cs="宋体"/>
          <w:sz w:val="32"/>
          <w:szCs w:val="32"/>
          <w:lang w:val="en-US" w:eastAsia="zh-CN"/>
        </w:rPr>
        <w:t>根据《中华人民共和国政府信息公开条例》</w:t>
      </w:r>
      <w:r>
        <w:rPr>
          <w:rFonts w:hint="eastAsia" w:ascii="宋体" w:hAnsi="宋体" w:eastAsia="宋体" w:cs="宋体"/>
          <w:sz w:val="32"/>
          <w:szCs w:val="32"/>
          <w:lang w:val="en-US" w:eastAsia="zh-CN"/>
        </w:rPr>
        <w:t>（2019年修订版）</w:t>
      </w:r>
      <w:r>
        <w:rPr>
          <w:rFonts w:hint="default" w:ascii="宋体" w:hAnsi="宋体" w:eastAsia="宋体" w:cs="宋体"/>
          <w:sz w:val="32"/>
          <w:szCs w:val="32"/>
          <w:lang w:val="en-US" w:eastAsia="zh-CN"/>
        </w:rPr>
        <w:t>和《</w:t>
      </w:r>
      <w:r>
        <w:rPr>
          <w:rFonts w:hint="eastAsia" w:ascii="宋体" w:hAnsi="宋体" w:eastAsia="宋体" w:cs="宋体"/>
          <w:sz w:val="32"/>
          <w:szCs w:val="32"/>
          <w:lang w:val="en-US" w:eastAsia="zh-CN"/>
        </w:rPr>
        <w:t>国务院</w:t>
      </w:r>
      <w:r>
        <w:rPr>
          <w:rFonts w:hint="default" w:ascii="宋体" w:hAnsi="宋体" w:eastAsia="宋体" w:cs="宋体"/>
          <w:sz w:val="32"/>
          <w:szCs w:val="32"/>
          <w:lang w:val="en-US" w:eastAsia="zh-CN"/>
        </w:rPr>
        <w:t>办公厅</w:t>
      </w:r>
      <w:r>
        <w:rPr>
          <w:rFonts w:hint="eastAsia" w:ascii="宋体" w:hAnsi="宋体" w:eastAsia="宋体" w:cs="宋体"/>
          <w:sz w:val="32"/>
          <w:szCs w:val="32"/>
          <w:lang w:val="en-US" w:eastAsia="zh-CN"/>
        </w:rPr>
        <w:t>政府信息与政务公开办公室</w:t>
      </w:r>
      <w:r>
        <w:rPr>
          <w:rFonts w:hint="default" w:ascii="宋体" w:hAnsi="宋体" w:eastAsia="宋体" w:cs="宋体"/>
          <w:sz w:val="32"/>
          <w:szCs w:val="32"/>
          <w:lang w:val="en-US" w:eastAsia="zh-CN"/>
        </w:rPr>
        <w:t>关于政府信息公开年度报告</w:t>
      </w:r>
      <w:r>
        <w:rPr>
          <w:rFonts w:hint="eastAsia" w:ascii="宋体" w:hAnsi="宋体" w:eastAsia="宋体" w:cs="宋体"/>
          <w:sz w:val="32"/>
          <w:szCs w:val="32"/>
          <w:lang w:val="en-US" w:eastAsia="zh-CN"/>
        </w:rPr>
        <w:t>有关事项的</w:t>
      </w:r>
      <w:r>
        <w:rPr>
          <w:rFonts w:hint="default" w:ascii="宋体" w:hAnsi="宋体" w:eastAsia="宋体" w:cs="宋体"/>
          <w:sz w:val="32"/>
          <w:szCs w:val="32"/>
          <w:lang w:val="en-US" w:eastAsia="zh-CN"/>
        </w:rPr>
        <w:t>通知》（</w:t>
      </w:r>
      <w:r>
        <w:rPr>
          <w:rFonts w:hint="eastAsia" w:ascii="宋体" w:hAnsi="宋体" w:eastAsia="宋体" w:cs="宋体"/>
          <w:sz w:val="32"/>
          <w:szCs w:val="32"/>
          <w:lang w:val="en-US" w:eastAsia="zh-CN"/>
        </w:rPr>
        <w:t>国办公开办函</w:t>
      </w:r>
      <w:r>
        <w:rPr>
          <w:rFonts w:hint="default" w:ascii="宋体" w:hAnsi="宋体" w:eastAsia="宋体" w:cs="宋体"/>
          <w:sz w:val="32"/>
          <w:szCs w:val="32"/>
          <w:lang w:val="en-US" w:eastAsia="zh-CN"/>
        </w:rPr>
        <w:t>[2019]</w:t>
      </w:r>
      <w:r>
        <w:rPr>
          <w:rFonts w:hint="eastAsia" w:ascii="宋体" w:hAnsi="宋体" w:eastAsia="宋体" w:cs="宋体"/>
          <w:sz w:val="32"/>
          <w:szCs w:val="32"/>
          <w:lang w:val="en-US" w:eastAsia="zh-CN"/>
        </w:rPr>
        <w:t>60</w:t>
      </w:r>
      <w:r>
        <w:rPr>
          <w:rFonts w:hint="default" w:ascii="宋体" w:hAnsi="宋体" w:eastAsia="宋体" w:cs="宋体"/>
          <w:sz w:val="32"/>
          <w:szCs w:val="32"/>
          <w:lang w:val="en-US" w:eastAsia="zh-CN"/>
        </w:rPr>
        <w:t>号）</w:t>
      </w:r>
      <w:r>
        <w:rPr>
          <w:rFonts w:hint="eastAsia" w:ascii="宋体" w:hAnsi="宋体" w:eastAsia="宋体" w:cs="宋体"/>
          <w:sz w:val="32"/>
          <w:szCs w:val="32"/>
          <w:lang w:val="en-US" w:eastAsia="zh-CN"/>
        </w:rPr>
        <w:t>精神，</w:t>
      </w:r>
      <w:r>
        <w:rPr>
          <w:rFonts w:hint="eastAsia" w:ascii="宋体" w:hAnsi="宋体" w:eastAsia="宋体" w:cs="宋体"/>
          <w:sz w:val="32"/>
          <w:szCs w:val="32"/>
          <w:lang w:eastAsia="zh-CN"/>
        </w:rPr>
        <w:t>2020</w:t>
      </w:r>
      <w:r>
        <w:rPr>
          <w:rFonts w:hint="eastAsia" w:ascii="宋体" w:hAnsi="宋体" w:eastAsia="宋体" w:cs="宋体"/>
          <w:sz w:val="32"/>
          <w:szCs w:val="32"/>
        </w:rPr>
        <w:t>年</w:t>
      </w:r>
      <w:r>
        <w:rPr>
          <w:rFonts w:hint="eastAsia" w:ascii="宋体" w:hAnsi="宋体" w:eastAsia="宋体" w:cs="宋体"/>
          <w:sz w:val="32"/>
          <w:szCs w:val="32"/>
          <w:lang w:eastAsia="zh-CN"/>
        </w:rPr>
        <w:t>，</w:t>
      </w:r>
      <w:r>
        <w:rPr>
          <w:rFonts w:hint="eastAsia" w:ascii="宋体" w:hAnsi="宋体" w:eastAsia="宋体" w:cs="宋体"/>
          <w:sz w:val="32"/>
          <w:szCs w:val="32"/>
        </w:rPr>
        <w:t>我局多次召开会议，研究、安排</w:t>
      </w:r>
      <w:r>
        <w:rPr>
          <w:rFonts w:hint="eastAsia" w:ascii="宋体" w:hAnsi="宋体" w:eastAsia="宋体" w:cs="宋体"/>
          <w:sz w:val="32"/>
          <w:szCs w:val="32"/>
          <w:lang w:eastAsia="zh-CN"/>
        </w:rPr>
        <w:t>、</w:t>
      </w:r>
      <w:r>
        <w:rPr>
          <w:rFonts w:hint="eastAsia" w:ascii="宋体" w:hAnsi="宋体" w:eastAsia="宋体" w:cs="宋体"/>
          <w:sz w:val="32"/>
          <w:szCs w:val="32"/>
        </w:rPr>
        <w:t>部署信息公开工作，</w:t>
      </w:r>
      <w:r>
        <w:rPr>
          <w:rFonts w:hint="eastAsia" w:ascii="宋体" w:hAnsi="宋体" w:eastAsia="宋体" w:cs="宋体"/>
          <w:sz w:val="32"/>
          <w:szCs w:val="32"/>
          <w:lang w:val="en-US" w:eastAsia="zh-CN"/>
        </w:rPr>
        <w:t>拓展</w:t>
      </w:r>
      <w:r>
        <w:rPr>
          <w:rFonts w:hint="eastAsia" w:ascii="宋体" w:hAnsi="宋体" w:eastAsia="宋体" w:cs="宋体"/>
          <w:sz w:val="32"/>
          <w:szCs w:val="32"/>
        </w:rPr>
        <w:t>公开渠道、提升公开幅度、</w:t>
      </w:r>
      <w:r>
        <w:rPr>
          <w:rFonts w:hint="eastAsia" w:ascii="宋体" w:hAnsi="宋体" w:eastAsia="宋体" w:cs="宋体"/>
          <w:sz w:val="32"/>
          <w:szCs w:val="32"/>
          <w:lang w:val="en-US" w:eastAsia="zh-CN"/>
        </w:rPr>
        <w:t>扩大</w:t>
      </w:r>
      <w:r>
        <w:rPr>
          <w:rFonts w:hint="eastAsia" w:ascii="宋体" w:hAnsi="宋体" w:eastAsia="宋体" w:cs="宋体"/>
          <w:sz w:val="32"/>
          <w:szCs w:val="32"/>
        </w:rPr>
        <w:t>公开</w:t>
      </w:r>
      <w:r>
        <w:rPr>
          <w:rFonts w:hint="eastAsia" w:ascii="宋体" w:hAnsi="宋体" w:eastAsia="宋体" w:cs="宋体"/>
          <w:sz w:val="32"/>
          <w:szCs w:val="32"/>
          <w:lang w:val="en-US" w:eastAsia="zh-CN"/>
        </w:rPr>
        <w:t>广度</w:t>
      </w:r>
      <w:r>
        <w:rPr>
          <w:rFonts w:hint="eastAsia" w:ascii="宋体" w:hAnsi="宋体" w:eastAsia="宋体" w:cs="宋体"/>
          <w:sz w:val="32"/>
          <w:szCs w:val="32"/>
        </w:rPr>
        <w:t>，全面、深入、细致地</w:t>
      </w:r>
      <w:r>
        <w:rPr>
          <w:rFonts w:hint="eastAsia" w:ascii="宋体" w:hAnsi="宋体" w:eastAsia="宋体" w:cs="宋体"/>
          <w:sz w:val="32"/>
          <w:szCs w:val="32"/>
          <w:lang w:val="en-US" w:eastAsia="zh-CN"/>
        </w:rPr>
        <w:t>做好</w:t>
      </w:r>
      <w:r>
        <w:rPr>
          <w:rFonts w:hint="eastAsia" w:ascii="宋体" w:hAnsi="宋体" w:eastAsia="宋体" w:cs="宋体"/>
          <w:sz w:val="32"/>
          <w:szCs w:val="32"/>
        </w:rPr>
        <w:t>政府信息公开工作</w:t>
      </w:r>
      <w:r>
        <w:rPr>
          <w:rFonts w:hint="eastAsia" w:ascii="宋体" w:hAnsi="宋体" w:eastAsia="宋体" w:cs="宋体"/>
          <w:sz w:val="32"/>
          <w:szCs w:val="32"/>
          <w:lang w:eastAsia="zh-CN"/>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我局</w:t>
      </w:r>
      <w:r>
        <w:rPr>
          <w:rFonts w:hint="eastAsia" w:ascii="宋体" w:hAnsi="宋体" w:eastAsia="宋体" w:cs="宋体"/>
          <w:sz w:val="32"/>
          <w:szCs w:val="32"/>
          <w:lang w:val="en-US" w:eastAsia="zh-CN"/>
        </w:rPr>
        <w:t>在</w:t>
      </w:r>
      <w:r>
        <w:rPr>
          <w:rFonts w:hint="eastAsia" w:ascii="宋体" w:hAnsi="宋体" w:eastAsia="宋体" w:cs="宋体"/>
          <w:sz w:val="32"/>
          <w:szCs w:val="32"/>
        </w:rPr>
        <w:t>政府信息公开</w:t>
      </w:r>
      <w:bookmarkStart w:id="0" w:name="_GoBack"/>
      <w:bookmarkEnd w:id="0"/>
      <w:r>
        <w:rPr>
          <w:rFonts w:hint="eastAsia" w:ascii="宋体" w:hAnsi="宋体" w:eastAsia="宋体" w:cs="宋体"/>
          <w:sz w:val="32"/>
          <w:szCs w:val="32"/>
        </w:rPr>
        <w:t>工作总体情况、主动公开政府信息情况、收到和处理政府信息公开申请情况、政府信息公开行政复议和行政诉讼情况、政府信息公开工作存在的主要问题及下一步工作打算等方面的</w:t>
      </w:r>
      <w:r>
        <w:rPr>
          <w:rFonts w:hint="eastAsia" w:ascii="宋体" w:hAnsi="宋体" w:eastAsia="宋体" w:cs="宋体"/>
          <w:sz w:val="32"/>
          <w:szCs w:val="32"/>
          <w:lang w:val="en-US" w:eastAsia="zh-CN"/>
        </w:rPr>
        <w:t>具体工作中</w:t>
      </w:r>
      <w:r>
        <w:rPr>
          <w:rFonts w:hint="eastAsia" w:ascii="宋体" w:hAnsi="宋体" w:eastAsia="宋体" w:cs="宋体"/>
          <w:sz w:val="32"/>
          <w:szCs w:val="32"/>
        </w:rPr>
        <w:t>，注重正确处理信息公开与涉密的关系，按照机构信息、公文法规、政策解读、</w:t>
      </w:r>
      <w:r>
        <w:rPr>
          <w:rFonts w:hint="eastAsia" w:ascii="宋体" w:hAnsi="宋体" w:eastAsia="宋体" w:cs="宋体"/>
          <w:sz w:val="32"/>
          <w:szCs w:val="32"/>
          <w:lang w:val="en-US" w:eastAsia="zh-CN"/>
        </w:rPr>
        <w:t>政务服务、</w:t>
      </w:r>
      <w:r>
        <w:rPr>
          <w:rFonts w:hint="eastAsia" w:ascii="宋体" w:hAnsi="宋体" w:eastAsia="宋体" w:cs="宋体"/>
          <w:sz w:val="32"/>
          <w:szCs w:val="32"/>
        </w:rPr>
        <w:t>规划计划、人事任用、工作动态分类发布和公开，内容准确、及时、全面。公开步骤分三步，第一步，先由局办公室和</w:t>
      </w:r>
      <w:r>
        <w:rPr>
          <w:rFonts w:hint="eastAsia" w:ascii="宋体" w:hAnsi="宋体" w:eastAsia="宋体" w:cs="宋体"/>
          <w:sz w:val="32"/>
          <w:szCs w:val="32"/>
          <w:lang w:val="en-US" w:eastAsia="zh-CN"/>
        </w:rPr>
        <w:t>各职能科室、直属事业单位</w:t>
      </w:r>
      <w:r>
        <w:rPr>
          <w:rFonts w:hint="eastAsia" w:ascii="宋体" w:hAnsi="宋体" w:eastAsia="宋体" w:cs="宋体"/>
          <w:sz w:val="32"/>
          <w:szCs w:val="32"/>
        </w:rPr>
        <w:t>提供当天印发的</w:t>
      </w:r>
      <w:r>
        <w:rPr>
          <w:rFonts w:hint="eastAsia" w:ascii="宋体" w:hAnsi="宋体" w:eastAsia="宋体" w:cs="宋体"/>
          <w:sz w:val="32"/>
          <w:szCs w:val="32"/>
          <w:lang w:val="en-US" w:eastAsia="zh-CN"/>
        </w:rPr>
        <w:t>各种</w:t>
      </w:r>
      <w:r>
        <w:rPr>
          <w:rFonts w:hint="eastAsia" w:ascii="宋体" w:hAnsi="宋体" w:eastAsia="宋体" w:cs="宋体"/>
          <w:sz w:val="32"/>
          <w:szCs w:val="32"/>
        </w:rPr>
        <w:t>公文，包括各基层单位提供的信息，然后由政务公开办公室负责人筛选把关，排除涉泄密的文件</w:t>
      </w:r>
      <w:r>
        <w:rPr>
          <w:rFonts w:hint="eastAsia" w:ascii="宋体" w:hAnsi="宋体" w:eastAsia="宋体" w:cs="宋体"/>
          <w:sz w:val="32"/>
          <w:szCs w:val="32"/>
          <w:lang w:val="en-US" w:eastAsia="zh-CN"/>
        </w:rPr>
        <w:t>信息</w:t>
      </w:r>
      <w:r>
        <w:rPr>
          <w:rFonts w:hint="eastAsia" w:ascii="宋体" w:hAnsi="宋体" w:eastAsia="宋体" w:cs="宋体"/>
          <w:sz w:val="32"/>
          <w:szCs w:val="32"/>
        </w:rPr>
        <w:t>，再提供给局信息公开领导小组负责人审查通过，然后上网发布。</w:t>
      </w:r>
      <w:r>
        <w:rPr>
          <w:rFonts w:hint="eastAsia" w:ascii="宋体" w:hAnsi="宋体" w:eastAsia="宋体" w:cs="宋体"/>
          <w:sz w:val="32"/>
          <w:szCs w:val="32"/>
          <w:lang w:val="en-US" w:eastAsia="zh-CN"/>
        </w:rPr>
        <w:t>局门户网站每次更新，都要填写《朔州市应急管理局政务信息公开审批表》，由录入人、承办人、网站负责人和局分管政务信息公开工作的领导审批。对于存在争议</w:t>
      </w:r>
      <w:r>
        <w:rPr>
          <w:rFonts w:hint="eastAsia" w:ascii="宋体" w:hAnsi="宋体" w:eastAsia="宋体" w:cs="宋体"/>
          <w:sz w:val="32"/>
          <w:szCs w:val="32"/>
        </w:rPr>
        <w:t>，但确须公开的公文，提请局主要领导批准。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在信息的公开上，我局把握的一个基本原则就是公共利益和群众知情原则。信息均公开至基层监管部门、煤矿企业以及生产经营单位，</w:t>
      </w:r>
      <w:r>
        <w:rPr>
          <w:rFonts w:hint="eastAsia" w:ascii="宋体" w:hAnsi="宋体" w:eastAsia="宋体" w:cs="宋体"/>
          <w:sz w:val="32"/>
          <w:szCs w:val="32"/>
          <w:lang w:val="en-US" w:eastAsia="zh-CN"/>
        </w:rPr>
        <w:t>并</w:t>
      </w:r>
      <w:r>
        <w:rPr>
          <w:rFonts w:hint="eastAsia" w:ascii="宋体" w:hAnsi="宋体" w:eastAsia="宋体" w:cs="宋体"/>
          <w:sz w:val="32"/>
          <w:szCs w:val="32"/>
        </w:rPr>
        <w:t>拓展到社会民众</w:t>
      </w:r>
      <w:r>
        <w:rPr>
          <w:rFonts w:hint="eastAsia" w:ascii="宋体" w:hAnsi="宋体" w:eastAsia="宋体" w:cs="宋体"/>
          <w:sz w:val="32"/>
          <w:szCs w:val="32"/>
          <w:lang w:val="en-US" w:eastAsia="zh-CN"/>
        </w:rPr>
        <w:t>层面</w:t>
      </w:r>
      <w:r>
        <w:rPr>
          <w:rFonts w:hint="eastAsia" w:ascii="宋体" w:hAnsi="宋体" w:eastAsia="宋体" w:cs="宋体"/>
          <w:sz w:val="32"/>
          <w:szCs w:val="32"/>
        </w:rPr>
        <w:t>。</w:t>
      </w:r>
    </w:p>
    <w:p>
      <w:pPr>
        <w:ind w:firstLine="641" w:firstLineChars="20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rPr>
        <w:t>（一）加强组织领导和机构队伍建设</w:t>
      </w:r>
      <w:r>
        <w:rPr>
          <w:rFonts w:hint="eastAsia" w:ascii="华文楷体" w:hAnsi="华文楷体" w:eastAsia="华文楷体" w:cs="华文楷体"/>
          <w:b/>
          <w:bCs/>
          <w:sz w:val="32"/>
          <w:szCs w:val="32"/>
          <w:lang w:val="en-US" w:eastAsia="zh-CN"/>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机构改革后，及时调整了</w:t>
      </w:r>
      <w:r>
        <w:rPr>
          <w:rFonts w:hint="eastAsia" w:ascii="宋体" w:hAnsi="宋体" w:eastAsia="宋体" w:cs="宋体"/>
          <w:sz w:val="32"/>
          <w:szCs w:val="32"/>
        </w:rPr>
        <w:t>朔州市应急管理局政府信息公开领导小组</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领导组</w:t>
      </w:r>
      <w:r>
        <w:rPr>
          <w:rFonts w:hint="eastAsia" w:ascii="宋体" w:hAnsi="宋体" w:eastAsia="宋体" w:cs="宋体"/>
          <w:sz w:val="32"/>
          <w:szCs w:val="32"/>
        </w:rPr>
        <w:t>依据职能分工，调整部分职能科室的职责，将政府部门权责清单调整和公开、财政资金信息公开、公共监管信息公开、依申请公开等信息公开事项进行了任务分解，明确各科室承担的信息公开责任。在局政府信息公开工作领导小组统一领导下，领导小组办公室担负起安排部署、情况综合、督促检查、组织考核等工作。局各科室、直属事业单位认真履行职责，各司其职，各负其责，确保政府信息公开工作落到实处。</w:t>
      </w:r>
    </w:p>
    <w:p>
      <w:pPr>
        <w:ind w:firstLine="641" w:firstLineChars="20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rPr>
        <w:t>（二）</w:t>
      </w:r>
      <w:r>
        <w:rPr>
          <w:rFonts w:hint="eastAsia" w:ascii="华文楷体" w:hAnsi="华文楷体" w:eastAsia="华文楷体" w:cs="华文楷体"/>
          <w:b/>
          <w:bCs/>
          <w:sz w:val="32"/>
          <w:szCs w:val="32"/>
          <w:lang w:val="en-US" w:eastAsia="zh-CN"/>
        </w:rPr>
        <w:t>突出工作重点和健全工作制度。</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2020</w:t>
      </w:r>
      <w:r>
        <w:rPr>
          <w:rFonts w:hint="eastAsia" w:ascii="宋体" w:hAnsi="宋体" w:eastAsia="宋体" w:cs="宋体"/>
          <w:sz w:val="32"/>
          <w:szCs w:val="32"/>
        </w:rPr>
        <w:t>年我局进一步扩宽信息公开渠道、拓展主动公开内容。</w:t>
      </w:r>
      <w:r>
        <w:rPr>
          <w:rFonts w:hint="eastAsia" w:ascii="宋体" w:hAnsi="宋体" w:eastAsia="宋体" w:cs="宋体"/>
          <w:sz w:val="32"/>
          <w:szCs w:val="32"/>
          <w:lang w:val="en-US" w:eastAsia="zh-CN"/>
        </w:rPr>
        <w:t>在市政府信息中心的指导下，我们将应急管理局在政务大厅的服务平台，统一和整合到局门户网站中。</w:t>
      </w:r>
      <w:r>
        <w:rPr>
          <w:rFonts w:hint="eastAsia" w:ascii="宋体" w:hAnsi="宋体" w:eastAsia="宋体" w:cs="宋体"/>
          <w:sz w:val="32"/>
          <w:szCs w:val="32"/>
        </w:rPr>
        <w:t>在公开渠道上，充分利用局门户网站、市政府信息公开栏目以及朔州电视台、朔州日报、</w:t>
      </w:r>
      <w:r>
        <w:rPr>
          <w:rFonts w:hint="eastAsia" w:ascii="宋体" w:hAnsi="宋体" w:eastAsia="宋体" w:cs="宋体"/>
          <w:sz w:val="32"/>
          <w:szCs w:val="32"/>
          <w:lang w:val="en-US" w:eastAsia="zh-CN"/>
        </w:rPr>
        <w:t>山西日报、中国应急管理报、中国煤炭报</w:t>
      </w:r>
      <w:r>
        <w:rPr>
          <w:rFonts w:hint="eastAsia" w:ascii="宋体" w:hAnsi="宋体" w:eastAsia="宋体" w:cs="宋体"/>
          <w:sz w:val="32"/>
          <w:szCs w:val="32"/>
        </w:rPr>
        <w:t>等媒体</w:t>
      </w:r>
      <w:r>
        <w:rPr>
          <w:rFonts w:hint="eastAsia" w:ascii="宋体" w:hAnsi="宋体" w:eastAsia="宋体" w:cs="宋体"/>
          <w:sz w:val="32"/>
          <w:szCs w:val="32"/>
          <w:lang w:val="en-US" w:eastAsia="zh-CN"/>
        </w:rPr>
        <w:t>进行公开</w:t>
      </w:r>
      <w:r>
        <w:rPr>
          <w:rFonts w:hint="eastAsia" w:ascii="宋体" w:hAnsi="宋体" w:eastAsia="宋体" w:cs="宋体"/>
          <w:sz w:val="32"/>
          <w:szCs w:val="32"/>
        </w:rPr>
        <w:t>。</w:t>
      </w:r>
      <w:r>
        <w:rPr>
          <w:rFonts w:hint="eastAsia" w:ascii="宋体" w:hAnsi="宋体" w:eastAsia="宋体" w:cs="宋体"/>
          <w:sz w:val="32"/>
          <w:szCs w:val="32"/>
          <w:lang w:val="en-US" w:eastAsia="zh-CN"/>
        </w:rPr>
        <w:t>在此基础上，我们注重使用新媒体拓展公开渠道，我局们注册的今日头条“朔州应急管理”官方宣传号，由于使用手机APP，大大提高了信息公开的深度、广度和宽度。一年来，在今日头条官方宣传号上公开和发布政务信息483条，平均每天一条还多，目前，粉丝已达1274个，而且官方宣传号还多次收到了民众关于安全生产和安全隐患的举报，我们及时地回应和答复了群众和社会的关切。在</w:t>
      </w:r>
      <w:r>
        <w:rPr>
          <w:rFonts w:hint="eastAsia" w:ascii="宋体" w:hAnsi="宋体" w:eastAsia="宋体" w:cs="宋体"/>
          <w:sz w:val="32"/>
          <w:szCs w:val="32"/>
        </w:rPr>
        <w:t>公开内容上，局信息公开领导小组确定了把公开透明作为政府工作的基本要求，坚持以公开为常态、不公开为例外，只要不涉及党和国家机密的事务，全部向社会公开的原则。</w:t>
      </w:r>
    </w:p>
    <w:p>
      <w:pPr>
        <w:ind w:firstLine="641" w:firstLineChars="200"/>
        <w:rPr>
          <w:rFonts w:hint="default"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rPr>
        <w:t>（三）加强政府信息公开的学习、宣传、培训</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提高工作人员的业务水平。</w:t>
      </w:r>
    </w:p>
    <w:p>
      <w:pPr>
        <w:numPr>
          <w:ilvl w:val="0"/>
          <w:numId w:val="0"/>
        </w:num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rPr>
        <w:t>一是组织全局集体学习《政府信息公开条例》和《朔州市</w:t>
      </w:r>
      <w:r>
        <w:rPr>
          <w:rFonts w:hint="eastAsia" w:ascii="宋体" w:hAnsi="宋体" w:eastAsia="宋体" w:cs="宋体"/>
          <w:sz w:val="32"/>
          <w:szCs w:val="32"/>
          <w:lang w:eastAsia="zh-CN"/>
        </w:rPr>
        <w:t>2020</w:t>
      </w:r>
      <w:r>
        <w:rPr>
          <w:rFonts w:hint="eastAsia" w:ascii="宋体" w:hAnsi="宋体" w:eastAsia="宋体" w:cs="宋体"/>
          <w:sz w:val="32"/>
          <w:szCs w:val="32"/>
        </w:rPr>
        <w:t>年政务公开工作要点》，使全体</w:t>
      </w:r>
      <w:r>
        <w:rPr>
          <w:rFonts w:hint="eastAsia" w:ascii="宋体" w:hAnsi="宋体" w:eastAsia="宋体" w:cs="宋体"/>
          <w:sz w:val="32"/>
          <w:szCs w:val="32"/>
          <w:lang w:val="en-US" w:eastAsia="zh-CN"/>
        </w:rPr>
        <w:t>工作人员</w:t>
      </w:r>
      <w:r>
        <w:rPr>
          <w:rFonts w:hint="eastAsia" w:ascii="宋体" w:hAnsi="宋体" w:eastAsia="宋体" w:cs="宋体"/>
          <w:sz w:val="32"/>
          <w:szCs w:val="32"/>
        </w:rPr>
        <w:t>充分认识到信息公开工作的重要性和信息公开工作的重点。</w:t>
      </w:r>
      <w:r>
        <w:rPr>
          <w:rFonts w:hint="eastAsia" w:ascii="宋体" w:hAnsi="宋体" w:eastAsia="宋体" w:cs="宋体"/>
          <w:sz w:val="32"/>
          <w:szCs w:val="32"/>
          <w:lang w:val="en-US" w:eastAsia="zh-CN"/>
        </w:rPr>
        <w:t>尤其是举办了执法、职能和服务窗口信息公开培训班，极大地提高了对政务公开重要性的认识和业务水平的提升；</w:t>
      </w:r>
      <w:r>
        <w:rPr>
          <w:rFonts w:hint="eastAsia" w:ascii="宋体" w:hAnsi="宋体" w:eastAsia="宋体" w:cs="宋体"/>
          <w:sz w:val="32"/>
          <w:szCs w:val="32"/>
        </w:rPr>
        <w:t>二是加大宣传力度，通过LED大屏及在学习宣传栏发布等形式积极宣传《政府信息公开条例》和相关制度。三是安排信息公开工作人员参加市政府信息中心举办的政府信息公开培训会，学习有关《政府信息公开条例》和相关制度的理论知识，进一步提高工作人员的业务水平。</w:t>
      </w:r>
      <w:r>
        <w:rPr>
          <w:rFonts w:hint="eastAsia" w:ascii="宋体" w:hAnsi="宋体" w:eastAsia="宋体" w:cs="宋体"/>
          <w:sz w:val="32"/>
          <w:szCs w:val="32"/>
          <w:lang w:val="en-US" w:eastAsia="zh-CN"/>
        </w:rPr>
        <w:t>同时，安排信息公开人员、网站维护人员去上级有关部门网站实践和学习，到兄弟单位网站进行观摩和交流。</w:t>
      </w:r>
    </w:p>
    <w:p>
      <w:pPr>
        <w:ind w:firstLine="641"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（四）建立健全制度和机制</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进一步优化政府信息公开指南，编制政府信息主动公开基本目录，及时完善相关内容。加强信息公开年度报告编制和发布工作。建立政府信息发布保密审查机制,明确审查程序和责任,严防泄密事件发生。对拟公开的政府信息，依法依规做好了保密审查。进一步健全了政府信息公开工作考核评议制度，制定了《政务信息公开责任制管理办法》，强化问责制度，定期开展社会调查评议，了解社情民意，不断改进公开工作。</w:t>
      </w:r>
    </w:p>
    <w:p>
      <w:pPr>
        <w:ind w:firstLine="641" w:firstLineChars="20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（五）聚焦热点、突破重点、攻坚难点</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今年以来，我们在政务服务、行政审批、执法检查、行政处罚信息公开、培训信息公开和安全隐患公开方面下了功夫，不仅填补了往年公开的空白点，而且提升了网站的公众信任度。尤其是行政审批、处罚信息，我们一般都制作成表格，使大家看起来一目了然。</w:t>
      </w:r>
    </w:p>
    <w:p>
      <w:pPr>
        <w:numPr>
          <w:ilvl w:val="0"/>
          <w:numId w:val="0"/>
        </w:numPr>
        <w:ind w:firstLine="641" w:firstLineChars="200"/>
        <w:rPr>
          <w:rFonts w:hint="eastAsia" w:ascii="宋体" w:hAnsi="宋体" w:eastAsia="宋体" w:cs="宋体"/>
          <w:sz w:val="32"/>
          <w:szCs w:val="32"/>
          <w:lang w:val="en-US" w:eastAsia="zh-CN"/>
        </w:rPr>
      </w:pPr>
      <w:r>
        <w:rPr>
          <w:rFonts w:hint="eastAsia" w:ascii="华文楷体" w:hAnsi="华文楷体" w:eastAsia="华文楷体" w:cs="华文楷体"/>
          <w:b/>
          <w:bCs/>
          <w:sz w:val="32"/>
          <w:szCs w:val="32"/>
          <w:lang w:val="en-US" w:eastAsia="zh-CN"/>
        </w:rPr>
        <w:t>（六）将政务公开与业务工作紧密结合</w:t>
      </w:r>
    </w:p>
    <w:p>
      <w:pPr>
        <w:numPr>
          <w:ilvl w:val="0"/>
          <w:numId w:val="0"/>
        </w:numPr>
        <w:ind w:firstLine="640" w:firstLineChars="200"/>
        <w:rPr>
          <w:rFonts w:hint="default" w:ascii="宋体" w:hAnsi="宋体" w:eastAsia="宋体" w:cs="宋体"/>
          <w:sz w:val="32"/>
          <w:szCs w:val="32"/>
          <w:lang w:val="en-US" w:eastAsia="zh-CN"/>
        </w:rPr>
      </w:pPr>
      <w:r>
        <w:rPr>
          <w:rFonts w:hint="default" w:ascii="宋体" w:hAnsi="宋体" w:eastAsia="宋体" w:cs="宋体"/>
          <w:sz w:val="32"/>
          <w:szCs w:val="32"/>
          <w:lang w:val="en-US" w:eastAsia="zh-CN"/>
        </w:rPr>
        <w:t>按照应急管理部和省应急管理厅要求，市应急管理</w:t>
      </w:r>
      <w:r>
        <w:rPr>
          <w:rFonts w:hint="eastAsia" w:ascii="宋体" w:hAnsi="宋体" w:eastAsia="宋体" w:cs="宋体"/>
          <w:sz w:val="32"/>
          <w:szCs w:val="32"/>
          <w:lang w:val="en-US" w:eastAsia="zh-CN"/>
        </w:rPr>
        <w:t>局今年</w:t>
      </w:r>
      <w:r>
        <w:rPr>
          <w:rFonts w:hint="default" w:ascii="宋体" w:hAnsi="宋体" w:eastAsia="宋体" w:cs="宋体"/>
          <w:sz w:val="32"/>
          <w:szCs w:val="32"/>
          <w:lang w:val="en-US" w:eastAsia="zh-CN"/>
        </w:rPr>
        <w:t>全面推行应用“互联网+执法”系统，不断提高执法系统应用能力和保障水平，推进应急管理体系和能力现代化。应急管理部“互联网+执法”系统是全国应急管理系统统一建设的监管执法信息化系统，与全国“互联网+监管系统”相匹配衔接。</w:t>
      </w:r>
      <w:r>
        <w:rPr>
          <w:rFonts w:hint="eastAsia" w:ascii="宋体" w:hAnsi="宋体" w:eastAsia="宋体" w:cs="宋体"/>
          <w:sz w:val="32"/>
          <w:szCs w:val="32"/>
          <w:lang w:val="en-US" w:eastAsia="zh-CN"/>
        </w:rPr>
        <w:t>全市</w:t>
      </w:r>
      <w:r>
        <w:rPr>
          <w:rFonts w:hint="default" w:ascii="宋体" w:hAnsi="宋体" w:eastAsia="宋体" w:cs="宋体"/>
          <w:sz w:val="32"/>
          <w:szCs w:val="32"/>
          <w:lang w:val="en-US" w:eastAsia="zh-CN"/>
        </w:rPr>
        <w:t>各级应急管理部门明确内设机构的工作职责，建立健全工作制度机制，确保执法系统应用工作取得实效。首先配备执法装备。在年底前与执法系统配套使用执法终端、执法记录仪等执法装备；其次全面应用系统。在今年年底前全面应用“互联网+执法”系统开展煤矿、危化、非煤、工贸、烟花爆竹等行业领域执法。市应急管理局具有执法职能的科室率先全面应用“互联网+执法”系统，为基层应急管理部门提供借鉴；再次是加快数据汇聚。9月21日起，开始向应急管理部汇聚政务服务和监管的增量数据，尽快完善“互联网+执法”基础数据录入上报工作。</w:t>
      </w:r>
    </w:p>
    <w:p>
      <w:pPr>
        <w:numPr>
          <w:ilvl w:val="0"/>
          <w:numId w:val="0"/>
        </w:numPr>
        <w:ind w:firstLine="640" w:firstLineChars="200"/>
        <w:rPr>
          <w:rFonts w:hint="eastAsia" w:ascii="宋体" w:hAnsi="宋体" w:eastAsia="宋体" w:cs="宋体"/>
          <w:sz w:val="32"/>
          <w:szCs w:val="32"/>
          <w:lang w:val="en-US" w:eastAsia="zh-CN"/>
        </w:rPr>
      </w:pPr>
      <w:r>
        <w:rPr>
          <w:rFonts w:hint="default" w:ascii="宋体" w:hAnsi="宋体" w:eastAsia="宋体" w:cs="宋体"/>
          <w:sz w:val="32"/>
          <w:szCs w:val="32"/>
          <w:lang w:val="en-US" w:eastAsia="zh-CN"/>
        </w:rPr>
        <w:t>应急管理局</w:t>
      </w:r>
      <w:r>
        <w:rPr>
          <w:rFonts w:hint="eastAsia" w:ascii="宋体" w:hAnsi="宋体" w:eastAsia="宋体" w:cs="宋体"/>
          <w:sz w:val="32"/>
          <w:szCs w:val="32"/>
          <w:lang w:val="en-US" w:eastAsia="zh-CN"/>
        </w:rPr>
        <w:t>引导和监督</w:t>
      </w:r>
      <w:r>
        <w:rPr>
          <w:rFonts w:hint="default" w:ascii="宋体" w:hAnsi="宋体" w:eastAsia="宋体" w:cs="宋体"/>
          <w:sz w:val="32"/>
          <w:szCs w:val="32"/>
          <w:lang w:val="en-US" w:eastAsia="zh-CN"/>
        </w:rPr>
        <w:t>各级应急管理部门制定执法系统应用工作方案，建立健全考评、培训、交流和系统维护使用保密等制度机制，不断提高执法系统应用能力和保障水平。同时落实好应用培训、运行维护和技术支持所需经费，配备满足工作需要的管理、技术等人员，为系统正常运行提供保障</w:t>
      </w:r>
      <w:r>
        <w:rPr>
          <w:rFonts w:hint="eastAsia" w:ascii="宋体" w:hAnsi="宋体" w:eastAsia="宋体" w:cs="宋体"/>
          <w:sz w:val="32"/>
          <w:szCs w:val="32"/>
          <w:lang w:val="en-US" w:eastAsia="zh-CN"/>
        </w:rPr>
        <w:t>。</w:t>
      </w:r>
    </w:p>
    <w:p>
      <w:pPr>
        <w:numPr>
          <w:ilvl w:val="0"/>
          <w:numId w:val="0"/>
        </w:numPr>
        <w:ind w:firstLine="640" w:firstLineChars="200"/>
        <w:rPr>
          <w:rFonts w:hint="default" w:ascii="宋体" w:hAnsi="宋体" w:eastAsia="宋体" w:cs="宋体"/>
          <w:sz w:val="32"/>
          <w:szCs w:val="32"/>
          <w:lang w:val="en-US" w:eastAsia="zh-CN"/>
        </w:rPr>
      </w:pPr>
      <w:r>
        <w:rPr>
          <w:rFonts w:hint="eastAsia" w:ascii="宋体" w:hAnsi="宋体" w:eastAsia="宋体" w:cs="宋体"/>
          <w:color w:val="auto"/>
          <w:sz w:val="32"/>
          <w:szCs w:val="32"/>
          <w:lang w:val="en-US" w:eastAsia="zh-CN"/>
        </w:rPr>
        <w:t>2020年</w:t>
      </w:r>
      <w:r>
        <w:rPr>
          <w:rFonts w:hint="eastAsia" w:ascii="宋体" w:hAnsi="宋体" w:eastAsia="宋体" w:cs="宋体"/>
          <w:color w:val="auto"/>
          <w:sz w:val="32"/>
          <w:szCs w:val="32"/>
        </w:rPr>
        <w:t>全年，</w:t>
      </w:r>
      <w:r>
        <w:rPr>
          <w:rFonts w:hint="eastAsia" w:ascii="宋体" w:hAnsi="宋体" w:eastAsia="宋体" w:cs="宋体"/>
          <w:color w:val="auto"/>
          <w:sz w:val="32"/>
          <w:szCs w:val="32"/>
          <w:lang w:val="en-US" w:eastAsia="zh-CN"/>
        </w:rPr>
        <w:t>我</w:t>
      </w:r>
      <w:r>
        <w:rPr>
          <w:rFonts w:hint="eastAsia" w:ascii="宋体" w:hAnsi="宋体" w:eastAsia="宋体" w:cs="宋体"/>
          <w:color w:val="auto"/>
          <w:sz w:val="32"/>
          <w:szCs w:val="32"/>
        </w:rPr>
        <w:t>局通过门户网站、《应急管理信息》、今日头条官方宣传号三种途径，公开和发布行业应急管理和安全生产信息</w:t>
      </w:r>
      <w:r>
        <w:rPr>
          <w:rFonts w:hint="eastAsia" w:ascii="宋体" w:hAnsi="宋体" w:eastAsia="宋体" w:cs="宋体"/>
          <w:color w:val="auto"/>
          <w:sz w:val="32"/>
          <w:szCs w:val="32"/>
          <w:lang w:val="en-US" w:eastAsia="zh-CN"/>
        </w:rPr>
        <w:t>3072</w:t>
      </w:r>
      <w:r>
        <w:rPr>
          <w:rFonts w:hint="eastAsia" w:ascii="宋体" w:hAnsi="宋体" w:eastAsia="宋体" w:cs="宋体"/>
          <w:color w:val="auto"/>
          <w:sz w:val="32"/>
          <w:szCs w:val="32"/>
        </w:rPr>
        <w:t>条。其中“朔州</w:t>
      </w:r>
      <w:r>
        <w:rPr>
          <w:rFonts w:hint="eastAsia" w:ascii="宋体" w:hAnsi="宋体" w:eastAsia="宋体" w:cs="宋体"/>
          <w:color w:val="auto"/>
          <w:sz w:val="32"/>
          <w:szCs w:val="32"/>
          <w:lang w:val="en-US" w:eastAsia="zh-CN"/>
        </w:rPr>
        <w:t>市</w:t>
      </w:r>
      <w:r>
        <w:rPr>
          <w:rFonts w:hint="eastAsia" w:ascii="宋体" w:hAnsi="宋体" w:eastAsia="宋体" w:cs="宋体"/>
          <w:color w:val="auto"/>
          <w:sz w:val="32"/>
          <w:szCs w:val="32"/>
        </w:rPr>
        <w:t>应急管理局”门户网站公开和发布政务信息</w:t>
      </w:r>
      <w:r>
        <w:rPr>
          <w:rFonts w:hint="eastAsia" w:ascii="宋体" w:hAnsi="宋体" w:eastAsia="宋体" w:cs="宋体"/>
          <w:color w:val="auto"/>
          <w:sz w:val="32"/>
          <w:szCs w:val="32"/>
          <w:lang w:val="en-US" w:eastAsia="zh-CN"/>
        </w:rPr>
        <w:t>1869</w:t>
      </w:r>
      <w:r>
        <w:rPr>
          <w:rFonts w:hint="eastAsia" w:ascii="宋体" w:hAnsi="宋体" w:eastAsia="宋体" w:cs="宋体"/>
          <w:color w:val="auto"/>
          <w:sz w:val="32"/>
          <w:szCs w:val="32"/>
        </w:rPr>
        <w:t>条；《应急管理信息》编印</w:t>
      </w:r>
      <w:r>
        <w:rPr>
          <w:rFonts w:hint="eastAsia" w:ascii="宋体" w:hAnsi="宋体" w:eastAsia="宋体" w:cs="宋体"/>
          <w:color w:val="auto"/>
          <w:sz w:val="32"/>
          <w:szCs w:val="32"/>
          <w:lang w:val="en-US" w:eastAsia="zh-CN"/>
        </w:rPr>
        <w:t>58</w:t>
      </w:r>
      <w:r>
        <w:rPr>
          <w:rFonts w:hint="eastAsia" w:ascii="宋体" w:hAnsi="宋体" w:eastAsia="宋体" w:cs="宋体"/>
          <w:color w:val="auto"/>
          <w:sz w:val="32"/>
          <w:szCs w:val="32"/>
        </w:rPr>
        <w:t>期，公开和发布政务信息</w:t>
      </w:r>
      <w:r>
        <w:rPr>
          <w:rFonts w:hint="eastAsia" w:ascii="宋体" w:hAnsi="宋体" w:eastAsia="宋体" w:cs="宋体"/>
          <w:color w:val="auto"/>
          <w:sz w:val="32"/>
          <w:szCs w:val="32"/>
          <w:lang w:val="en-US" w:eastAsia="zh-CN"/>
        </w:rPr>
        <w:t>720</w:t>
      </w:r>
      <w:r>
        <w:rPr>
          <w:rFonts w:hint="eastAsia" w:ascii="宋体" w:hAnsi="宋体" w:eastAsia="宋体" w:cs="宋体"/>
          <w:color w:val="auto"/>
          <w:sz w:val="32"/>
          <w:szCs w:val="32"/>
        </w:rPr>
        <w:t>条；今日头条官方宣传号公开和发布政务信息</w:t>
      </w:r>
      <w:r>
        <w:rPr>
          <w:rFonts w:hint="eastAsia" w:ascii="宋体" w:hAnsi="宋体" w:eastAsia="宋体" w:cs="宋体"/>
          <w:color w:val="auto"/>
          <w:sz w:val="32"/>
          <w:szCs w:val="32"/>
          <w:lang w:val="en-US" w:eastAsia="zh-CN"/>
        </w:rPr>
        <w:t>483</w:t>
      </w:r>
      <w:r>
        <w:rPr>
          <w:rFonts w:hint="eastAsia" w:ascii="宋体" w:hAnsi="宋体" w:eastAsia="宋体" w:cs="宋体"/>
          <w:color w:val="auto"/>
          <w:sz w:val="32"/>
          <w:szCs w:val="32"/>
        </w:rPr>
        <w:t>条。同时，</w:t>
      </w:r>
      <w:r>
        <w:rPr>
          <w:rFonts w:hint="eastAsia" w:ascii="宋体" w:hAnsi="宋体" w:eastAsia="宋体" w:cs="宋体"/>
          <w:color w:val="auto"/>
          <w:sz w:val="32"/>
          <w:szCs w:val="32"/>
          <w:shd w:val="clear"/>
        </w:rPr>
        <w:t>通过《中国应急管理报》、《中国煤炭报》、中国安全生产网、中国煤炭网、省应急管理厅微信公众号公开和发布政务信息</w:t>
      </w:r>
      <w:r>
        <w:rPr>
          <w:rFonts w:hint="eastAsia" w:ascii="宋体" w:hAnsi="宋体" w:eastAsia="宋体" w:cs="宋体"/>
          <w:color w:val="auto"/>
          <w:sz w:val="32"/>
          <w:szCs w:val="32"/>
          <w:shd w:val="clear"/>
          <w:lang w:val="en-US" w:eastAsia="zh-CN"/>
        </w:rPr>
        <w:t>25</w:t>
      </w:r>
      <w:r>
        <w:rPr>
          <w:rFonts w:hint="eastAsia" w:ascii="宋体" w:hAnsi="宋体" w:eastAsia="宋体" w:cs="宋体"/>
          <w:color w:val="auto"/>
          <w:sz w:val="32"/>
          <w:szCs w:val="32"/>
          <w:shd w:val="clear"/>
        </w:rPr>
        <w:t>条。</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8331" w:type="dxa"/>
        <w:tblInd w:w="0" w:type="dxa"/>
        <w:shd w:val="clear" w:color="auto" w:fill="auto"/>
        <w:tblLayout w:type="autofit"/>
        <w:tblCellMar>
          <w:top w:w="0" w:type="dxa"/>
          <w:left w:w="0" w:type="dxa"/>
          <w:bottom w:w="0" w:type="dxa"/>
          <w:right w:w="0" w:type="dxa"/>
        </w:tblCellMar>
      </w:tblPr>
      <w:tblGrid>
        <w:gridCol w:w="2466"/>
        <w:gridCol w:w="16"/>
        <w:gridCol w:w="1703"/>
        <w:gridCol w:w="1369"/>
        <w:gridCol w:w="437"/>
        <w:gridCol w:w="2340"/>
      </w:tblGrid>
      <w:tr>
        <w:tblPrEx>
          <w:shd w:val="clear" w:color="auto" w:fill="auto"/>
          <w:tblCellMar>
            <w:top w:w="0" w:type="dxa"/>
            <w:left w:w="0" w:type="dxa"/>
            <w:bottom w:w="0" w:type="dxa"/>
            <w:right w:w="0" w:type="dxa"/>
          </w:tblCellMar>
        </w:tblPrEx>
        <w:trPr>
          <w:trHeight w:val="270" w:hRule="atLeast"/>
        </w:trPr>
        <w:tc>
          <w:tcPr>
            <w:tcW w:w="83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第二十条第（一）项</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本年新制作数量</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本年新公开数量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对外公开总数量</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规章</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规范性文件</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83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第二十条第（五）项</w:t>
            </w:r>
          </w:p>
        </w:tc>
      </w:tr>
      <w:tr>
        <w:tblPrEx>
          <w:shd w:val="clear" w:color="auto" w:fill="auto"/>
          <w:tblCellMar>
            <w:top w:w="0" w:type="dxa"/>
            <w:left w:w="0" w:type="dxa"/>
            <w:bottom w:w="0" w:type="dxa"/>
            <w:right w:w="0" w:type="dxa"/>
          </w:tblCellMar>
        </w:tblPrEx>
        <w:trPr>
          <w:trHeight w:val="54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处理决定数量</w:t>
            </w:r>
          </w:p>
        </w:tc>
      </w:tr>
      <w:tr>
        <w:tblPrEx>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r>
      <w:tr>
        <w:tblPrEx>
          <w:shd w:val="clear" w:color="auto" w:fill="auto"/>
          <w:tblCellMar>
            <w:top w:w="0" w:type="dxa"/>
            <w:left w:w="0" w:type="dxa"/>
            <w:bottom w:w="0" w:type="dxa"/>
            <w:right w:w="0" w:type="dxa"/>
          </w:tblCellMar>
        </w:tblPrEx>
        <w:trPr>
          <w:trHeight w:val="474"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其他对外管理服务事项</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287" w:hRule="atLeast"/>
        </w:trPr>
        <w:tc>
          <w:tcPr>
            <w:tcW w:w="83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第二十条第（六）项</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处理决定数量</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270" w:hRule="atLeast"/>
        </w:trPr>
        <w:tc>
          <w:tcPr>
            <w:tcW w:w="2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300" w:hRule="atLeast"/>
        </w:trPr>
        <w:tc>
          <w:tcPr>
            <w:tcW w:w="8331"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第二十条第（八）项</w:t>
            </w:r>
          </w:p>
        </w:tc>
      </w:tr>
      <w:tr>
        <w:tblPrEx>
          <w:shd w:val="clear" w:color="auto" w:fill="auto"/>
          <w:tblCellMar>
            <w:top w:w="0" w:type="dxa"/>
            <w:left w:w="0" w:type="dxa"/>
            <w:bottom w:w="0" w:type="dxa"/>
            <w:right w:w="0" w:type="dxa"/>
          </w:tblCellMar>
        </w:tblPrEx>
        <w:trPr>
          <w:trHeight w:val="480" w:hRule="atLeast"/>
        </w:trPr>
        <w:tc>
          <w:tcPr>
            <w:tcW w:w="2482"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3072"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2777"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r>
      <w:tr>
        <w:tblPrEx>
          <w:shd w:val="clear" w:color="auto" w:fill="auto"/>
          <w:tblCellMar>
            <w:top w:w="0" w:type="dxa"/>
            <w:left w:w="0" w:type="dxa"/>
            <w:bottom w:w="0" w:type="dxa"/>
            <w:right w:w="0" w:type="dxa"/>
          </w:tblCellMar>
        </w:tblPrEx>
        <w:trPr>
          <w:trHeight w:val="385" w:hRule="atLeast"/>
        </w:trPr>
        <w:tc>
          <w:tcPr>
            <w:tcW w:w="2482" w:type="dxa"/>
            <w:gridSpan w:val="2"/>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行政事业性收费</w:t>
            </w:r>
          </w:p>
        </w:tc>
        <w:tc>
          <w:tcPr>
            <w:tcW w:w="3072" w:type="dxa"/>
            <w:gridSpan w:val="2"/>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777" w:type="dxa"/>
            <w:gridSpan w:val="2"/>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300" w:hRule="atLeast"/>
        </w:trPr>
        <w:tc>
          <w:tcPr>
            <w:tcW w:w="8331" w:type="dxa"/>
            <w:gridSpan w:val="6"/>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第二十条第（九）项</w:t>
            </w:r>
          </w:p>
        </w:tc>
      </w:tr>
      <w:tr>
        <w:tblPrEx>
          <w:tblCellMar>
            <w:top w:w="0" w:type="dxa"/>
            <w:left w:w="0" w:type="dxa"/>
            <w:bottom w:w="0" w:type="dxa"/>
            <w:right w:w="0" w:type="dxa"/>
          </w:tblCellMar>
        </w:tblPrEx>
        <w:trPr>
          <w:trHeight w:val="435" w:hRule="atLeast"/>
        </w:trPr>
        <w:tc>
          <w:tcPr>
            <w:tcW w:w="2482"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3072"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采购项目数量</w:t>
            </w:r>
          </w:p>
        </w:tc>
        <w:tc>
          <w:tcPr>
            <w:tcW w:w="277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采购总金额</w:t>
            </w:r>
          </w:p>
        </w:tc>
      </w:tr>
      <w:tr>
        <w:tblPrEx>
          <w:shd w:val="clear" w:color="auto" w:fill="auto"/>
          <w:tblCellMar>
            <w:top w:w="0" w:type="dxa"/>
            <w:left w:w="0" w:type="dxa"/>
            <w:bottom w:w="0" w:type="dxa"/>
            <w:right w:w="0" w:type="dxa"/>
          </w:tblCellMar>
        </w:tblPrEx>
        <w:trPr>
          <w:trHeight w:val="340" w:hRule="atLeast"/>
        </w:trPr>
        <w:tc>
          <w:tcPr>
            <w:tcW w:w="2482"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政府集中采购</w:t>
            </w:r>
          </w:p>
        </w:tc>
        <w:tc>
          <w:tcPr>
            <w:tcW w:w="3072"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277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bl>
    <w:p>
      <w:pPr>
        <w:numPr>
          <w:ilvl w:val="0"/>
          <w:numId w:val="0"/>
        </w:numPr>
        <w:rPr>
          <w:rFonts w:hint="eastAsia" w:ascii="宋体" w:hAnsi="宋体" w:eastAsia="宋体" w:cs="宋体"/>
          <w:sz w:val="32"/>
          <w:szCs w:val="32"/>
        </w:rPr>
      </w:pPr>
    </w:p>
    <w:p>
      <w:pPr>
        <w:numPr>
          <w:ilvl w:val="0"/>
          <w:numId w:val="0"/>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收到和处理政府信息公开申请情况</w:t>
      </w:r>
    </w:p>
    <w:tbl>
      <w:tblPr>
        <w:tblStyle w:val="5"/>
        <w:tblpPr w:leftFromText="180" w:rightFromText="180" w:vertAnchor="text" w:horzAnchor="page" w:tblpX="1837" w:tblpY="630"/>
        <w:tblOverlap w:val="never"/>
        <w:tblW w:w="8295" w:type="dxa"/>
        <w:tblInd w:w="0" w:type="dxa"/>
        <w:shd w:val="clear" w:color="auto" w:fill="auto"/>
        <w:tblLayout w:type="fixed"/>
        <w:tblCellMar>
          <w:top w:w="0" w:type="dxa"/>
          <w:left w:w="0" w:type="dxa"/>
          <w:bottom w:w="0" w:type="dxa"/>
          <w:right w:w="0" w:type="dxa"/>
        </w:tblCellMar>
      </w:tblPr>
      <w:tblGrid>
        <w:gridCol w:w="1275"/>
        <w:gridCol w:w="1335"/>
        <w:gridCol w:w="2250"/>
        <w:gridCol w:w="1350"/>
        <w:gridCol w:w="1080"/>
        <w:gridCol w:w="510"/>
        <w:gridCol w:w="495"/>
      </w:tblGrid>
      <w:tr>
        <w:tblPrEx>
          <w:shd w:val="clear" w:color="auto" w:fill="auto"/>
          <w:tblCellMar>
            <w:top w:w="0" w:type="dxa"/>
            <w:left w:w="0" w:type="dxa"/>
            <w:bottom w:w="0" w:type="dxa"/>
            <w:right w:w="0" w:type="dxa"/>
          </w:tblCellMar>
        </w:tblPrEx>
        <w:trPr>
          <w:trHeight w:val="620" w:hRule="atLeast"/>
        </w:trPr>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（本列数据的勾稽关系为：第一项加第二项之和，等于第三项加第四项之和）</w:t>
            </w:r>
          </w:p>
        </w:tc>
        <w:tc>
          <w:tcPr>
            <w:tcW w:w="34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申请人情况</w:t>
            </w:r>
          </w:p>
        </w:tc>
      </w:tr>
      <w:tr>
        <w:tblPrEx>
          <w:shd w:val="clear" w:color="auto" w:fill="auto"/>
          <w:tblCellMar>
            <w:top w:w="0" w:type="dxa"/>
            <w:left w:w="0" w:type="dxa"/>
            <w:bottom w:w="0" w:type="dxa"/>
            <w:right w:w="0" w:type="dxa"/>
          </w:tblCellMar>
        </w:tblPrEx>
        <w:trPr>
          <w:trHeight w:val="27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w:t>
            </w:r>
          </w:p>
        </w:tc>
        <w:tc>
          <w:tcPr>
            <w:tcW w:w="65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法人或其他组织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shd w:val="clear" w:color="auto" w:fill="auto"/>
          <w:tblCellMar>
            <w:top w:w="0" w:type="dxa"/>
            <w:left w:w="0" w:type="dxa"/>
            <w:bottom w:w="0" w:type="dxa"/>
            <w:right w:w="0" w:type="dxa"/>
          </w:tblCellMar>
        </w:tblPrEx>
        <w:trPr>
          <w:trHeight w:val="54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商业企业</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科研机构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社会公益组织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法律服务机构</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一、本年新收政府信息公开申请数量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二、上年结转政府信息公开申请数量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三、本年度办理结果</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（一）予以公开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6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（二）部分公开（区分处理的，只计这一情形，不计其他情形）</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（三）不予公开</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1.属于国家秘密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2.其他法律行政法规禁止公开</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3.危及“三稳定一安全”</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4.保护第三方合法权益</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5.属于三类内部事务信息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6.属于四类过程性信息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7.属于行政执法案卷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8.属于行政查询事项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（四）无法提供</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1.本机关不掌握相关政府信息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2.没有现成信息需要另行制作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3.补正后申请内容仍不明确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（五）不予处理</w:t>
            </w: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1.信访举报投诉类申请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2.重复申请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3.要求提供公开出版物</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4.无正当理由大量重复申请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54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5.要求行政机关确认或重新出具已获取信息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（六）其他处理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（七）总计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270" w:hRule="atLeast"/>
        </w:trPr>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四、结转下年度继续办理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numPr>
          <w:ilvl w:val="0"/>
          <w:numId w:val="0"/>
        </w:numPr>
        <w:rPr>
          <w:rFonts w:hint="eastAsia" w:ascii="宋体" w:hAnsi="宋体" w:eastAsia="宋体" w:cs="宋体"/>
          <w:sz w:val="32"/>
          <w:szCs w:val="32"/>
        </w:rPr>
      </w:pPr>
    </w:p>
    <w:p>
      <w:pPr>
        <w:numPr>
          <w:ilvl w:val="0"/>
          <w:numId w:val="0"/>
        </w:num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政府信息公开行政复议、行政诉讼情况</w:t>
      </w:r>
    </w:p>
    <w:p>
      <w:pPr>
        <w:numPr>
          <w:ilvl w:val="0"/>
          <w:numId w:val="0"/>
        </w:numPr>
        <w:rPr>
          <w:rFonts w:hint="eastAsia" w:ascii="宋体" w:hAnsi="宋体" w:eastAsia="宋体" w:cs="宋体"/>
          <w:b/>
          <w:bCs/>
          <w:sz w:val="32"/>
          <w:szCs w:val="32"/>
        </w:rPr>
      </w:pPr>
    </w:p>
    <w:tbl>
      <w:tblPr>
        <w:tblStyle w:val="5"/>
        <w:tblW w:w="8317" w:type="dxa"/>
        <w:tblInd w:w="0" w:type="dxa"/>
        <w:shd w:val="clear" w:color="auto" w:fill="auto"/>
        <w:tblLayout w:type="fixed"/>
        <w:tblCellMar>
          <w:top w:w="0" w:type="dxa"/>
          <w:left w:w="0" w:type="dxa"/>
          <w:bottom w:w="0" w:type="dxa"/>
          <w:right w:w="0" w:type="dxa"/>
        </w:tblCellMar>
      </w:tblPr>
      <w:tblGrid>
        <w:gridCol w:w="601"/>
        <w:gridCol w:w="601"/>
        <w:gridCol w:w="601"/>
        <w:gridCol w:w="601"/>
        <w:gridCol w:w="302"/>
        <w:gridCol w:w="555"/>
        <w:gridCol w:w="525"/>
        <w:gridCol w:w="555"/>
        <w:gridCol w:w="571"/>
        <w:gridCol w:w="585"/>
        <w:gridCol w:w="480"/>
        <w:gridCol w:w="540"/>
        <w:gridCol w:w="570"/>
        <w:gridCol w:w="630"/>
        <w:gridCol w:w="600"/>
      </w:tblGrid>
      <w:tr>
        <w:tblPrEx>
          <w:shd w:val="clear" w:color="auto" w:fill="auto"/>
          <w:tblCellMar>
            <w:top w:w="0" w:type="dxa"/>
            <w:left w:w="0" w:type="dxa"/>
            <w:bottom w:w="0" w:type="dxa"/>
            <w:right w:w="0" w:type="dxa"/>
          </w:tblCellMar>
        </w:tblPrEx>
        <w:trPr>
          <w:trHeight w:val="270" w:hRule="atLeast"/>
        </w:trPr>
        <w:tc>
          <w:tcPr>
            <w:tcW w:w="270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行政复议</w:t>
            </w:r>
          </w:p>
        </w:tc>
        <w:tc>
          <w:tcPr>
            <w:tcW w:w="5611"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行政诉讼</w:t>
            </w:r>
          </w:p>
        </w:tc>
      </w:tr>
      <w:tr>
        <w:tblPrEx>
          <w:shd w:val="clear" w:color="auto" w:fill="auto"/>
          <w:tblCellMar>
            <w:top w:w="0" w:type="dxa"/>
            <w:left w:w="0" w:type="dxa"/>
            <w:bottom w:w="0" w:type="dxa"/>
            <w:right w:w="0" w:type="dxa"/>
          </w:tblCellMar>
        </w:tblPrEx>
        <w:trPr>
          <w:trHeight w:val="270" w:hRule="atLeast"/>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279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未经复议直接起诉</w:t>
            </w:r>
          </w:p>
        </w:tc>
        <w:tc>
          <w:tcPr>
            <w:tcW w:w="28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复议后起诉</w:t>
            </w:r>
          </w:p>
        </w:tc>
      </w:tr>
      <w:tr>
        <w:tblPrEx>
          <w:shd w:val="clear" w:color="auto" w:fill="auto"/>
          <w:tblCellMar>
            <w:top w:w="0" w:type="dxa"/>
            <w:left w:w="0" w:type="dxa"/>
            <w:bottom w:w="0" w:type="dxa"/>
            <w:right w:w="0" w:type="dxa"/>
          </w:tblCellMar>
        </w:tblPrEx>
        <w:trPr>
          <w:trHeight w:val="600"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结果维持</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其他结果</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尚未审结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shd w:val="clear" w:color="auto" w:fill="auto"/>
          <w:tblCellMar>
            <w:top w:w="0" w:type="dxa"/>
            <w:left w:w="0" w:type="dxa"/>
            <w:bottom w:w="0" w:type="dxa"/>
            <w:right w:w="0" w:type="dxa"/>
          </w:tblCellMar>
        </w:tblPrEx>
        <w:trPr>
          <w:trHeight w:val="510"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numPr>
          <w:ilvl w:val="0"/>
          <w:numId w:val="0"/>
        </w:numPr>
        <w:rPr>
          <w:rFonts w:hint="eastAsia" w:ascii="宋体" w:hAnsi="宋体" w:eastAsia="宋体" w:cs="宋体"/>
          <w:sz w:val="32"/>
          <w:szCs w:val="32"/>
        </w:rPr>
      </w:pP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五、存在的主要问题及改进情况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2020</w:t>
      </w:r>
      <w:r>
        <w:rPr>
          <w:rFonts w:hint="eastAsia" w:ascii="宋体" w:hAnsi="宋体" w:eastAsia="宋体" w:cs="宋体"/>
          <w:sz w:val="32"/>
          <w:szCs w:val="32"/>
        </w:rPr>
        <w:t>年，我局政府信息公开工作主要存在以下几点问题及薄弱环节：一是从事信息公开工作要求既要有技术，又要懂业务，</w:t>
      </w:r>
      <w:r>
        <w:rPr>
          <w:rFonts w:hint="eastAsia" w:ascii="宋体" w:hAnsi="宋体" w:eastAsia="宋体" w:cs="宋体"/>
          <w:sz w:val="32"/>
          <w:szCs w:val="32"/>
          <w:lang w:val="en-US" w:eastAsia="zh-CN"/>
        </w:rPr>
        <w:t>还要会写作，</w:t>
      </w:r>
      <w:r>
        <w:rPr>
          <w:rFonts w:hint="eastAsia" w:ascii="宋体" w:hAnsi="宋体" w:eastAsia="宋体" w:cs="宋体"/>
          <w:sz w:val="32"/>
          <w:szCs w:val="32"/>
        </w:rPr>
        <w:t>现有工作人员身兼数职，</w:t>
      </w:r>
      <w:r>
        <w:rPr>
          <w:rFonts w:hint="eastAsia" w:ascii="宋体" w:hAnsi="宋体" w:eastAsia="宋体" w:cs="宋体"/>
          <w:sz w:val="32"/>
          <w:szCs w:val="32"/>
          <w:lang w:val="en-US" w:eastAsia="zh-CN"/>
        </w:rPr>
        <w:t>很难做到专业化</w:t>
      </w:r>
      <w:r>
        <w:rPr>
          <w:rFonts w:hint="eastAsia" w:ascii="宋体" w:hAnsi="宋体" w:eastAsia="宋体" w:cs="宋体"/>
          <w:sz w:val="32"/>
          <w:szCs w:val="32"/>
        </w:rPr>
        <w:t>；二是从事信息公开的人员频繁变动对工作影响较大，造成工作的延续性不强；三是未建立成熟的舆情监测体系；四是信息公开的协调配合不够，部分科室、部门信息不能够及时</w:t>
      </w:r>
      <w:r>
        <w:rPr>
          <w:rFonts w:hint="eastAsia" w:ascii="宋体" w:hAnsi="宋体" w:eastAsia="宋体" w:cs="宋体"/>
          <w:sz w:val="32"/>
          <w:szCs w:val="32"/>
          <w:lang w:val="en-US" w:eastAsia="zh-CN"/>
        </w:rPr>
        <w:t>报送，影响到</w:t>
      </w:r>
      <w:r>
        <w:rPr>
          <w:rFonts w:hint="eastAsia" w:ascii="宋体" w:hAnsi="宋体" w:eastAsia="宋体" w:cs="宋体"/>
          <w:sz w:val="32"/>
          <w:szCs w:val="32"/>
        </w:rPr>
        <w:t>发布，未形成合力；五是</w:t>
      </w:r>
      <w:r>
        <w:rPr>
          <w:rFonts w:hint="eastAsia" w:ascii="宋体" w:hAnsi="宋体" w:eastAsia="宋体" w:cs="宋体"/>
          <w:sz w:val="32"/>
          <w:szCs w:val="32"/>
          <w:lang w:val="en-US" w:eastAsia="zh-CN"/>
        </w:rPr>
        <w:t>维护费用不足</w:t>
      </w:r>
      <w:r>
        <w:rPr>
          <w:rFonts w:hint="eastAsia" w:ascii="宋体" w:hAnsi="宋体" w:eastAsia="宋体" w:cs="宋体"/>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宋体" w:hAnsi="宋体" w:eastAsia="宋体" w:cs="宋体"/>
          <w:sz w:val="32"/>
          <w:szCs w:val="32"/>
        </w:rPr>
      </w:pPr>
      <w:r>
        <w:rPr>
          <w:rFonts w:hint="eastAsia" w:ascii="宋体" w:hAnsi="宋体" w:eastAsia="宋体" w:cs="宋体"/>
          <w:kern w:val="2"/>
          <w:sz w:val="32"/>
          <w:szCs w:val="32"/>
          <w:lang w:val="en-US" w:eastAsia="zh-CN" w:bidi="ar-SA"/>
        </w:rPr>
        <w:t>针对存在的差距和不足，2021年，我局将从以下几个方面进行改进：一是进一步加强信息工作人员培训；二是适时、有规划地调配各个部门的工作人员，弱化人员变动对工作的影响；三是深化政府信息公开内容。结合局网站内容更新，逐步深化和完善信息公开的内容范围，更加突出信息公开、方便公众办事等方面的功能；四是保证各个科室部门的协调配合，确保各种信息的及时发布。</w:t>
      </w:r>
    </w:p>
    <w:p>
      <w:pPr>
        <w:ind w:firstLine="643" w:firstLineChars="200"/>
        <w:rPr>
          <w:rFonts w:hint="eastAsia" w:ascii="宋体" w:hAnsi="宋体" w:eastAsia="宋体" w:cs="宋体"/>
          <w:b/>
          <w:bCs/>
          <w:sz w:val="32"/>
          <w:szCs w:val="32"/>
        </w:rPr>
      </w:pPr>
      <w:r>
        <w:rPr>
          <w:rFonts w:hint="eastAsia" w:ascii="黑体" w:hAnsi="黑体" w:eastAsia="黑体" w:cs="黑体"/>
          <w:b/>
          <w:bCs/>
          <w:sz w:val="32"/>
          <w:szCs w:val="32"/>
        </w:rPr>
        <w:t>六、其他需要报告的事项</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2021年，计划投资6万元，对局门户网站进行升级改造，力争年底前建成支持互联网协议第6版的政务公开一体化平台。</w:t>
      </w:r>
    </w:p>
    <w:p>
      <w:pPr>
        <w:jc w:val="right"/>
        <w:rPr>
          <w:rFonts w:hint="eastAsia" w:ascii="宋体" w:hAnsi="宋体" w:eastAsia="宋体" w:cs="宋体"/>
          <w:sz w:val="32"/>
          <w:szCs w:val="32"/>
        </w:rPr>
      </w:pPr>
      <w:r>
        <w:rPr>
          <w:rFonts w:hint="eastAsia" w:ascii="宋体" w:hAnsi="宋体" w:eastAsia="宋体" w:cs="宋体"/>
          <w:sz w:val="32"/>
          <w:szCs w:val="32"/>
        </w:rPr>
        <w:t>朔州市应急管理局</w:t>
      </w:r>
    </w:p>
    <w:p>
      <w:pPr>
        <w:jc w:val="right"/>
        <w:rPr>
          <w:rFonts w:hint="eastAsia" w:ascii="宋体" w:hAnsi="宋体" w:eastAsia="宋体" w:cs="宋体"/>
          <w:sz w:val="28"/>
          <w:szCs w:val="28"/>
        </w:rPr>
      </w:pPr>
      <w:r>
        <w:rPr>
          <w:rFonts w:hint="eastAsia" w:ascii="宋体" w:hAnsi="宋体" w:eastAsia="宋体" w:cs="宋体"/>
          <w:sz w:val="32"/>
          <w:szCs w:val="32"/>
        </w:rPr>
        <w:t>2020年1月16日</w:t>
      </w:r>
    </w:p>
    <w:p>
      <w:pPr>
        <w:jc w:val="right"/>
        <w:rPr>
          <w:rFonts w:hint="eastAsia"/>
        </w:rPr>
      </w:pPr>
    </w:p>
    <w:p>
      <w:pPr>
        <w:jc w:val="right"/>
        <w:rPr>
          <w:rFonts w:hint="eastAsia"/>
        </w:rPr>
      </w:pPr>
    </w:p>
    <w:p>
      <w:pPr>
        <w:jc w:val="right"/>
        <w:rPr>
          <w:rFonts w:hint="eastAsia"/>
        </w:rPr>
      </w:pPr>
    </w:p>
    <w:p>
      <w:pPr>
        <w:jc w:val="both"/>
        <w:rPr>
          <w:rFonts w:hint="eastAsia"/>
        </w:rPr>
      </w:pPr>
    </w:p>
    <w:p>
      <w:pPr>
        <w:jc w:val="right"/>
        <w:rPr>
          <w:rFonts w:hint="eastAsia"/>
        </w:rPr>
      </w:pPr>
    </w:p>
    <w:p>
      <w:pPr>
        <w:jc w:val="right"/>
        <w:rPr>
          <w:rFonts w:hint="eastAsia"/>
        </w:rPr>
      </w:pPr>
    </w:p>
    <w:p>
      <w:pPr>
        <w:jc w:val="right"/>
        <w:rPr>
          <w:rFonts w:hint="eastAsia"/>
        </w:rPr>
      </w:pPr>
    </w:p>
    <w:p>
      <w:pPr>
        <w:jc w:val="both"/>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4352D"/>
    <w:rsid w:val="0DA6419D"/>
    <w:rsid w:val="11C80836"/>
    <w:rsid w:val="12520074"/>
    <w:rsid w:val="1A312282"/>
    <w:rsid w:val="23E25A46"/>
    <w:rsid w:val="45036212"/>
    <w:rsid w:val="4EE71C88"/>
    <w:rsid w:val="510E7524"/>
    <w:rsid w:val="5C4A5C83"/>
    <w:rsid w:val="70D137E1"/>
    <w:rsid w:val="745D0C65"/>
    <w:rsid w:val="7979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222222"/>
      <w:u w:val="none"/>
    </w:rPr>
  </w:style>
  <w:style w:type="character" w:styleId="9">
    <w:name w:val="Emphasis"/>
    <w:basedOn w:val="6"/>
    <w:qFormat/>
    <w:uiPriority w:val="0"/>
    <w:rPr>
      <w:i/>
    </w:rPr>
  </w:style>
  <w:style w:type="character" w:styleId="10">
    <w:name w:val="HTML Definition"/>
    <w:basedOn w:val="6"/>
    <w:uiPriority w:val="0"/>
    <w:rPr>
      <w:i/>
    </w:rPr>
  </w:style>
  <w:style w:type="character" w:styleId="11">
    <w:name w:val="HTML Typewriter"/>
    <w:basedOn w:val="6"/>
    <w:qFormat/>
    <w:uiPriority w:val="0"/>
    <w:rPr>
      <w:rFonts w:ascii="Courier New" w:hAnsi="Courier New"/>
      <w:sz w:val="20"/>
    </w:rPr>
  </w:style>
  <w:style w:type="character" w:styleId="12">
    <w:name w:val="HTML Variable"/>
    <w:basedOn w:val="6"/>
    <w:qFormat/>
    <w:uiPriority w:val="0"/>
    <w:rPr>
      <w:i/>
    </w:rPr>
  </w:style>
  <w:style w:type="character" w:styleId="13">
    <w:name w:val="Hyperlink"/>
    <w:basedOn w:val="6"/>
    <w:uiPriority w:val="0"/>
    <w:rPr>
      <w:color w:val="222222"/>
      <w:u w:val="none"/>
    </w:rPr>
  </w:style>
  <w:style w:type="character" w:styleId="14">
    <w:name w:val="HTML Cite"/>
    <w:basedOn w:val="6"/>
    <w:qFormat/>
    <w:uiPriority w:val="0"/>
    <w:rPr>
      <w:i/>
    </w:rPr>
  </w:style>
  <w:style w:type="character" w:styleId="15">
    <w:name w:val="HTML Sample"/>
    <w:basedOn w:val="6"/>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3904</Words>
  <Characters>3988</Characters>
  <Lines>0</Lines>
  <Paragraphs>0</Paragraphs>
  <TotalTime>47</TotalTime>
  <ScaleCrop>false</ScaleCrop>
  <LinksUpToDate>false</LinksUpToDate>
  <CharactersWithSpaces>3988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2021-01-14T01:12:00Z</dcterms:created>
  <dc:creator>Lenovo</dc:creator>
  <cp:lastModifiedBy>若是繁华</cp:lastModifiedBy>
  <cp:lastPrinted>2021-11-19T00:11:00Z</cp:lastPrinted>
  <dcterms:modified xsi:type="dcterms:W3CDTF">2021-11-19T01:14:45Z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9F093CE67D6C4A61806A352634B68378</vt:lpwstr>
  </property>
</Properties>
</file>